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Hanover Bancorp,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Fourthstone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144,216.00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144,216.00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144,216.00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 description of the information reported in rows (6), (8), (9) and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Fourthstone Master Opportunity Fund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109,654.00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109,654.00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109,654.00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 description of the information reported in rows (6), (8), (9) and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Fourthstone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34,562.00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34,562.00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34,562.00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0.48 %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 description of the information reported in rows (6), (8), (9) and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Fourthstone QP Opportunity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30,365.00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30,365.00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 description of the information reported in rows (6), (8), (9) and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Fourthstone Small-Cap Financials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4,197.00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4,197.00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0.06 %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 description of the information reported in rows (6), (8), (9) and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 Phillip Stone, IV</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144,216.00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144,216.00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144,216.00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 for a description of the information reported in rows (6), (8), (9) and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Hanover Bancorp,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EAST JERICHO TURNPIKE, MINEOLA, NY, 11501</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Fourthstone LLC, a Delaware Limited Liability Company and Investment Adviser ("Fourthstone"). The persons reporting information on this Schedule 13G include, in addition to Fourthstone, a company incorporated in the Cayman Islands ("Fourthstone Master Opportunity Fund"), a Delaware Limited Partnership ("Fourthstone QP Opportunity"), a Delaware Limited Partnership ("Fourthstone Small-Cap Financials"), a Delaware Limited Liability Company ("Fourthstone GP, " General Partner of Fourthstone QP Opportunity and Fourthstone Small-Cap Financials), and L. Phillip Stone, IV, a citizen of the United States of America, who is the Managing Member of Fourthstone and Fourthstone GP (each, a "Reporting Person" and, together, the "Reporting Persons"). Fourthstone directly holds 144,216 shares of Common Stock on behalf of its advisory clients. Each of the Reporting Persons listed in this filing certify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effect.</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as follows: The registered office of Fourthstone LLC, Fourthstone Master Opportunity Fund Ltd., Fourthstone GP LLC, Fourthstone QP Opportunity Fund LP, Fourthstone Small-Cap Financials Fund LP is 575 Maryville Centre Drive, Suite 110, St. Louis, MO 63141.</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Item 4 of each of the cover pages.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Fourthstone LLC acquired the Issuer's shares in the ordinary course of business as a registered investment adviser and not with the purpose nor with the effect of influencing the control of the Issuer. Fourthstone GP LLC is the general partner of and may be deemed to beneficially own securities owned by Fourthstone QP Opportunity Fund LP and Fourthstone Small-Cap Financials Fund LP. L. Phillip Stone, IV, is the Managing Member of Fourthstone LLC and Fourthstone GP and may be deemed to beneficially own securities owned by Fourthstone. The percentages reported in Row 11 of each cover page are based on 7,156,661 shares of Common Stock (as defined below) of the Issuer (as defined below) outstanding as of April 30, 2026, based on the Issuer's Form 10-Q filed on May 8, 2026.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2.02  %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Fourthstone LLC</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Amy M. Stone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Fourthstone Master Opportunity Fund Ltd</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Amy M. Stone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Fourthstone GP LLC</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L. Phillip Stone, 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Managing Member of Fourthstone GP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Fourthstone QP Opportunity Fund LP</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Amy M. Stone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Fourthstone Small-Cap Financials Fund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Amy M. Stone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L. Phillip Stone, IV</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L. Phillip Stone, IV</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Self, Principal owner of Fourthstone LLC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1919</Words>
  <Characters>9837</Characters>
  <CharactersWithSpaces>11651</CharactersWithSpaces>
  <Paragraphs>398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