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left"/>
        <w:rPr/>
      </w:pPr>
      <w:bookmarkStart w:id="0" w:name="hnvr-20260723x8k.htm"/>
      <w:bookmarkStart w:id="1" w:name="kshnvr20260723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8dcfd61a_0976_450b_988d_e83dc5c35d1e"/>
      <w:bookmarkEnd w:id="2"/>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13 OR 15(d) OF THE SECURITIES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July 23,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HANOVER BANCORP,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eIXlCir5YkK06t_Q-g8P0w_2_2"/>
      <w:bookmarkStart w:id="4" w:name="Tc_xBBLKrX270a0NK6Lud6sag_2_1"/>
      <w:bookmarkStart w:id="5" w:name="Tc__ZTqyLVwNESpMBc--MIGQQ_2_0"/>
      <w:bookmarkStart w:id="6" w:name="_7e48bd52_1da4_48d8_aec7_f90d3614ff8e"/>
      <w:bookmarkStart w:id="7" w:name="Tc_eIXlCir5YkK06t_Q-g8P0w_2_2"/>
      <w:bookmarkStart w:id="8" w:name="Tc_xBBLKrX270a0NK6Lud6sag_2_1"/>
      <w:bookmarkStart w:id="9" w:name="Tc__ZTqyLVwNESpMBc--MIGQQ_2_0"/>
      <w:bookmarkStart w:id="10" w:name="_7e48bd52_1da4_48d8_aec7_f90d3614ff8e"/>
      <w:bookmarkEnd w:id="7"/>
      <w:bookmarkEnd w:id="8"/>
      <w:bookmarkEnd w:id="9"/>
      <w:bookmarkEnd w:id="10"/>
    </w:p>
    <w:tbl>
      <w:tblPr>
        <w:tblW w:w="9243" w:type="dxa"/>
        <w:jc w:val="left"/>
        <w:tblInd w:w="0" w:type="dxa"/>
        <w:tblLayout w:type="fixed"/>
        <w:tblCellMar>
          <w:top w:w="0" w:type="dxa"/>
          <w:left w:w="0" w:type="dxa"/>
          <w:bottom w:w="0" w:type="dxa"/>
          <w:right w:w="0" w:type="dxa"/>
        </w:tblCellMar>
      </w:tblPr>
      <w:tblGrid>
        <w:gridCol w:w="3856"/>
        <w:gridCol w:w="2386"/>
        <w:gridCol w:w="3001"/>
      </w:tblGrid>
      <w:tr>
        <w:trPr/>
        <w:tc>
          <w:tcPr>
            <w:tcW w:w="385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Maryland</w:t>
            </w:r>
          </w:p>
        </w:tc>
        <w:tc>
          <w:tcPr>
            <w:tcW w:w="23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001-41384</w:t>
            </w:r>
          </w:p>
        </w:tc>
        <w:tc>
          <w:tcPr>
            <w:tcW w:w="30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81-3324480</w:t>
            </w:r>
          </w:p>
        </w:tc>
      </w:tr>
      <w:tr>
        <w:trPr/>
        <w:tc>
          <w:tcPr>
            <w:tcW w:w="3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 incorporation)</w:t>
            </w:r>
          </w:p>
        </w:tc>
        <w:tc>
          <w:tcPr>
            <w:tcW w:w="23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w:t>
            </w:r>
          </w:p>
        </w:tc>
        <w:tc>
          <w:tcPr>
            <w:tcW w:w="30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 Identification No.)</w:t>
            </w:r>
          </w:p>
        </w:tc>
      </w:tr>
      <w:tr>
        <w:trPr/>
        <w:tc>
          <w:tcPr>
            <w:tcW w:w="3856"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pPr>
            <w:r>
              <w:rPr/>
              <w:t>​</w:t>
            </w:r>
          </w:p>
        </w:tc>
        <w:tc>
          <w:tcPr>
            <w:tcW w:w="300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hR4_1sKtAEeLQ_tmh15AWg_2_1"/>
      <w:bookmarkStart w:id="12" w:name="Tc_pOUcLWtg_E69XTfLG-NEEg_2_0"/>
      <w:bookmarkStart w:id="13" w:name="Tc_yzG3qGrP6kqk6pYYgqod3A_1_0"/>
      <w:bookmarkStart w:id="14" w:name="_96533ca7_deea_4e36_a291_37b43d62ac8e"/>
      <w:bookmarkStart w:id="15" w:name="Tc_hR4_1sKtAEeLQ_tmh15AWg_2_1"/>
      <w:bookmarkStart w:id="16" w:name="Tc_pOUcLWtg_E69XTfLG-NEEg_2_0"/>
      <w:bookmarkStart w:id="17" w:name="Tc_yzG3qGrP6kqk6pYYgqod3A_1_0"/>
      <w:bookmarkStart w:id="18" w:name="_96533ca7_deea_4e36_a291_37b43d62ac8e"/>
      <w:bookmarkEnd w:id="15"/>
      <w:bookmarkEnd w:id="16"/>
      <w:bookmarkEnd w:id="17"/>
      <w:bookmarkEnd w:id="18"/>
    </w:p>
    <w:tbl>
      <w:tblPr>
        <w:tblW w:w="5057" w:type="dxa"/>
        <w:jc w:val="left"/>
        <w:tblInd w:w="0" w:type="dxa"/>
        <w:tblLayout w:type="fixed"/>
        <w:tblCellMar>
          <w:top w:w="0" w:type="dxa"/>
          <w:left w:w="0" w:type="dxa"/>
          <w:bottom w:w="0" w:type="dxa"/>
          <w:right w:w="0" w:type="dxa"/>
        </w:tblCellMar>
      </w:tblPr>
      <w:tblGrid>
        <w:gridCol w:w="4006"/>
        <w:gridCol w:w="1051"/>
      </w:tblGrid>
      <w:tr>
        <w:trPr/>
        <w:tc>
          <w:tcPr>
            <w:tcW w:w="400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40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 East Jericho Turnpike, Mineola, New York</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11501</w:t>
            </w:r>
          </w:p>
        </w:tc>
      </w:tr>
      <w:tr>
        <w:trPr/>
        <w:tc>
          <w:tcPr>
            <w:tcW w:w="40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(516) 548-8500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Securities registered pursuant to Section 12(b) of the Act: </w:t>
      </w:r>
    </w:p>
    <w:p>
      <w:pPr>
        <w:pStyle w:val="TextBody"/>
        <w:bidi w:val="0"/>
        <w:spacing w:before="0" w:after="0"/>
        <w:ind w:left="0" w:right="0" w:hanging="0"/>
        <w:jc w:val="both"/>
        <w:rPr/>
      </w:pPr>
      <w:r>
        <w:rPr/>
        <w:t>​</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19" w:name="Tc_DWe0qVy3sESAsxUtha22Kw_1_2"/>
      <w:bookmarkStart w:id="20" w:name="Tc_ghscTe2_E0WebUfJ2jufOQ_1_1"/>
      <w:bookmarkStart w:id="21" w:name="Tc_sysY8yjWBkGWn1LBnU3Lqw_1_0"/>
      <w:bookmarkStart w:id="22" w:name="_d8d77d83_c734_4850_b5fb_ffef3abafa93"/>
      <w:bookmarkStart w:id="23" w:name="Tc_DWe0qVy3sESAsxUtha22Kw_1_2"/>
      <w:bookmarkStart w:id="24" w:name="Tc_ghscTe2_E0WebUfJ2jufOQ_1_1"/>
      <w:bookmarkStart w:id="25" w:name="Tc_sysY8yjWBkGWn1LBnU3Lqw_1_0"/>
      <w:bookmarkStart w:id="26" w:name="_d8d77d83_c734_4850_b5fb_ffef3abafa93"/>
      <w:bookmarkEnd w:id="23"/>
      <w:bookmarkEnd w:id="24"/>
      <w:bookmarkEnd w:id="25"/>
      <w:bookmarkEnd w:id="26"/>
    </w:p>
    <w:tbl>
      <w:tblPr>
        <w:tblW w:w="6678" w:type="dxa"/>
        <w:jc w:val="left"/>
        <w:tblInd w:w="0" w:type="dxa"/>
        <w:tblLayout w:type="fixed"/>
        <w:tblCellMar>
          <w:top w:w="0" w:type="dxa"/>
          <w:left w:w="0" w:type="dxa"/>
          <w:bottom w:w="0" w:type="dxa"/>
          <w:right w:w="0" w:type="dxa"/>
        </w:tblCellMar>
      </w:tblPr>
      <w:tblGrid>
        <w:gridCol w:w="1576"/>
        <w:gridCol w:w="1396"/>
        <w:gridCol w:w="370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1396"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Title of each class</w:t>
            </w:r>
          </w:p>
        </w:tc>
        <w:tc>
          <w:tcPr>
            <w:tcW w:w="1396" w:type="dxa"/>
            <w:tcBorders>
              <w:top w:val="single" w:sz="8" w:space="0" w:color="000000"/>
              <w:bottom w:val="single" w:sz="8"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Trading symbol</w:t>
            </w:r>
          </w:p>
        </w:tc>
        <w:tc>
          <w:tcPr>
            <w:tcW w:w="3706" w:type="dxa"/>
            <w:tcBorders>
              <w:top w:val="single" w:sz="8" w:space="0" w:color="000000"/>
              <w:bottom w:val="single" w:sz="8"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Name of each exchange on which registered</w:t>
            </w:r>
          </w:p>
        </w:tc>
      </w:tr>
      <w:tr>
        <w:trPr/>
        <w:tc>
          <w:tcPr>
            <w:tcW w:w="1576" w:type="dxa"/>
            <w:tcBorders>
              <w:top w:val="single" w:sz="8" w:space="0" w:color="000000"/>
              <w:left w:val="single" w:sz="8" w:space="0" w:color="000000"/>
              <w:bottom w:val="single" w:sz="2"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Common stock</w:t>
            </w:r>
          </w:p>
        </w:tc>
        <w:tc>
          <w:tcPr>
            <w:tcW w:w="1396" w:type="dxa"/>
            <w:tcBorders>
              <w:top w:val="single" w:sz="8" w:space="0" w:color="000000"/>
              <w:bottom w:val="single" w:sz="2"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HNVR</w:t>
            </w:r>
          </w:p>
        </w:tc>
        <w:tc>
          <w:tcPr>
            <w:tcW w:w="3706" w:type="dxa"/>
            <w:tcBorders>
              <w:top w:val="single" w:sz="8" w:space="0" w:color="000000"/>
              <w:bottom w:val="single" w:sz="2"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NASDAQ</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3"/>
        <w:ind w:left="0" w:right="0" w:hanging="0"/>
        <w:jc w:val="left"/>
        <w:rPr/>
      </w:pPr>
      <w:r>
        <w:rPr/>
        <w:t>​</w:t>
      </w:r>
    </w:p>
    <w:p>
      <w:pPr>
        <w:pStyle w:val="TextBody"/>
        <w:bidi w:val="0"/>
        <w:spacing w:before="0" w:after="23"/>
        <w:ind w:left="0" w:right="0" w:hanging="0"/>
        <w:jc w:val="left"/>
        <w:rPr/>
      </w:pPr>
      <w:r>
        <w:rPr/>
        <w:t>​</w:t>
      </w:r>
    </w:p>
    <w:p>
      <w:pPr>
        <w:pStyle w:val="TextBody"/>
        <w:bidi w:val="0"/>
        <w:spacing w:before="0" w:after="23"/>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27" w:name="_ea050953_7433_49c6_9af6_8d820199b787"/>
      <w:bookmarkEnd w:id="27"/>
      <w:r>
        <w:rPr>
          <w:rFonts w:ascii="Times New Roman;Times;serif" w:hAnsi="Times New Roman;Times;serif"/>
          <w:b/>
          <w:sz w:val="20"/>
        </w:rPr>
        <w:t>Item 2.02 – Results of Operations and Financial Condition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23, 2026, Hanover Bancorp, Inc. (the “Company”) issued a press release announcing its financial results for the three and six months ended June 30,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press release issued by the Company on July 23, 2026 is furnished herewith as Exhibit 99.1. This information is being “furnished” in accordance with General Instruction B.2. of Form 8-K and shall not be deemed “filed” for purposes of Section 18 of the Securities Exchange Act of 1934, as amended (the “Exchange Act”), or otherwise subject to the liabilities of that section, nor shall it be deemed to be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28" w:name="_ecdb4931_d9db_41e7_bada_b971c3bcbe3e"/>
      <w:bookmarkEnd w:id="28"/>
      <w:r>
        <w:rPr>
          <w:rFonts w:ascii="Times New Roman;Times;serif" w:hAnsi="Times New Roman;Times;serif"/>
          <w:b/>
          <w:sz w:val="20"/>
        </w:rPr>
        <w:t>Item 9.01 – Financial Statements and Exhibits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tbl>
      <w:tblPr>
        <w:tblW w:w="2088" w:type="dxa"/>
        <w:jc w:val="left"/>
        <w:tblInd w:w="0" w:type="dxa"/>
        <w:tblLayout w:type="fixed"/>
        <w:tblCellMar>
          <w:top w:w="0" w:type="dxa"/>
          <w:left w:w="0" w:type="dxa"/>
          <w:bottom w:w="0" w:type="dxa"/>
          <w:right w:w="0" w:type="dxa"/>
        </w:tblCellMar>
      </w:tblPr>
      <w:tblGrid>
        <w:gridCol w:w="706"/>
        <w:gridCol w:w="406"/>
        <w:gridCol w:w="976"/>
      </w:tblGrid>
      <w:tr>
        <w:trPr/>
        <w:tc>
          <w:tcPr>
            <w:tcW w:w="7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19760" cy="175260"/>
                      <wp:effectExtent l="0" t="0" r="0" b="0"/>
                      <wp:wrapNone/>
                      <wp:docPr id="1" name="Frame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406" w:type="dxa"/>
            <w:tcBorders/>
            <w:vAlign w:val="center"/>
          </w:tcPr>
          <w:p>
            <w:pPr>
              <w:pStyle w:val="TableContents"/>
              <w:bidi w:val="0"/>
              <w:spacing w:before="0" w:after="0"/>
              <w:ind w:left="0" w:right="0" w:hanging="0"/>
              <w:jc w:val="left"/>
              <w:rPr/>
            </w:pPr>
            <w:r>
              <w:rPr/>
              <w:t>  ​ ​ ​ ​</w:t>
            </w:r>
          </w:p>
        </w:tc>
        <w:tc>
          <w:tcPr>
            <w:tcW w:w="97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597" w:type="dxa"/>
        <w:jc w:val="left"/>
        <w:tblInd w:w="0" w:type="dxa"/>
        <w:tblLayout w:type="fixed"/>
        <w:tblCellMar>
          <w:top w:w="0" w:type="dxa"/>
          <w:left w:w="0" w:type="dxa"/>
          <w:bottom w:w="0" w:type="dxa"/>
          <w:right w:w="0" w:type="dxa"/>
        </w:tblCellMar>
      </w:tblPr>
      <w:tblGrid>
        <w:gridCol w:w="1141"/>
        <w:gridCol w:w="7456"/>
      </w:tblGrid>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99.1</w:t>
            </w:r>
          </w:p>
        </w:tc>
        <w:tc>
          <w:tcPr>
            <w:tcW w:w="7456" w:type="dxa"/>
            <w:tcBorders/>
            <w:vAlign w:val="center"/>
          </w:tcPr>
          <w:p>
            <w:pPr>
              <w:pStyle w:val="TableContents"/>
              <w:bidi w:val="0"/>
              <w:spacing w:before="0" w:after="0"/>
              <w:ind w:left="0" w:right="0" w:hanging="0"/>
              <w:jc w:val="left"/>
              <w:rPr/>
            </w:pPr>
            <w:hyperlink w:anchor="hnvr-20260723xex99d1.htm">
              <w:r>
                <w:rPr>
                  <w:rStyle w:val="InternetLink"/>
                  <w:rFonts w:ascii="Times New Roman;Times;serif" w:hAnsi="Times New Roman;Times;serif"/>
                  <w:b w:val="false"/>
                  <w:i w:val="false"/>
                  <w:caps w:val="false"/>
                  <w:smallCaps w:val="false"/>
                  <w:sz w:val="20"/>
                </w:rPr>
                <w:t>Press release issued by the Company on July 23, 2026</w:t>
              </w:r>
            </w:hyperlink>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104</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9" w:name="_c8b51306_c7b9_43d6_b0d4_a3f49234d73d"/>
      <w:bookmarkEnd w:id="29"/>
      <w:r>
        <w:rPr>
          <w:rFonts w:ascii="Times New Roman;Times;serif" w:hAnsi="Times New Roman;Times;serif"/>
          <w:b/>
          <w:sz w:val="20"/>
        </w:rPr>
        <w:t>SIGNATURE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0" w:name="_Hlk103246447"/>
      <w:bookmarkStart w:id="31" w:name="_Hlk103246447"/>
      <w:bookmarkEnd w:id="31"/>
    </w:p>
    <w:tbl>
      <w:tblPr>
        <w:tblW w:w="7087" w:type="dxa"/>
        <w:jc w:val="left"/>
        <w:tblInd w:w="0" w:type="dxa"/>
        <w:tblLayout w:type="fixed"/>
        <w:tblCellMar>
          <w:top w:w="0" w:type="dxa"/>
          <w:left w:w="0" w:type="dxa"/>
          <w:bottom w:w="0" w:type="dxa"/>
          <w:right w:w="0" w:type="dxa"/>
        </w:tblCellMar>
      </w:tblPr>
      <w:tblGrid>
        <w:gridCol w:w="1711"/>
        <w:gridCol w:w="109"/>
        <w:gridCol w:w="406"/>
        <w:gridCol w:w="4861"/>
      </w:tblGrid>
      <w:tr>
        <w:trPr/>
        <w:tc>
          <w:tcPr>
            <w:tcW w:w="1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HANOVER BANCORP, INC.</w:t>
            </w:r>
          </w:p>
        </w:tc>
      </w:tr>
      <w:tr>
        <w:trPr/>
        <w:tc>
          <w:tcPr>
            <w:tcW w:w="1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7" w:type="dxa"/>
            <w:gridSpan w:val="2"/>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23, 2026</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86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Lance P. Burke</w:t>
            </w:r>
          </w:p>
        </w:tc>
      </w:tr>
      <w:tr>
        <w:trPr/>
        <w:tc>
          <w:tcPr>
            <w:tcW w:w="1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Lance P. Burke</w:t>
            </w:r>
          </w:p>
        </w:tc>
      </w:tr>
      <w:tr>
        <w:trPr/>
        <w:tc>
          <w:tcPr>
            <w:tcW w:w="1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Executive Vice President &amp; Chief Financial Officer</w:t>
            </w:r>
          </w:p>
        </w:tc>
      </w:tr>
      <w:tr>
        <w:trPr/>
        <w:tc>
          <w:tcPr>
            <w:tcW w:w="1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1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7" w:type="dxa"/>
            <w:gridSpan w:val="2"/>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7" w:type="dxa"/>
            <w:gridSpan w:val="2"/>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7"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bookmarkStart w:id="32" w:name="hnvr-20260723xex99d1.htm"/>
      <w:bookmarkStart w:id="33" w:name="kshnvr20260723xex99d1"/>
      <w:bookmarkEnd w:id="32"/>
      <w:bookmarkEnd w:id="33"/>
      <w:r>
        <w:rPr>
          <w:rFonts w:ascii="Times New Roman;Times;serif" w:hAnsi="Times New Roman;Times;serif"/>
          <w:b/>
          <w:sz w:val="20"/>
        </w:rPr>
        <w:t>Exhibit 99.1</w:t>
      </w:r>
      <w:r>
        <w:br w:type="page"/>
      </w:r>
    </w:p>
    <w:p>
      <w:pPr>
        <w:pStyle w:val="TextBody"/>
        <w:bidi w:val="0"/>
        <w:spacing w:before="0" w:after="0"/>
        <w:ind w:left="0" w:right="0" w:hanging="0"/>
        <w:jc w:val="right"/>
        <w:rPr/>
      </w:pPr>
      <w:r>
        <w:rPr/>
        <w:t>​</w:t>
      </w:r>
    </w:p>
    <w:p>
      <w:pPr>
        <w:pStyle w:val="TextBody"/>
        <w:bidi w:val="0"/>
        <w:spacing w:before="0" w:after="0"/>
        <w:ind w:left="0" w:right="0" w:hanging="0"/>
        <w:jc w:val="both"/>
        <w:rPr/>
      </w:pPr>
      <w:r>
        <w:rPr/>
        <w:drawing>
          <wp:inline distT="0" distB="0" distL="0" distR="0">
            <wp:extent cx="2735580" cy="57277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735580" cy="572770"/>
                    </a:xfrm>
                    <a:prstGeom prst="rect">
                      <a:avLst/>
                    </a:prstGeom>
                  </pic:spPr>
                </pic:pic>
              </a:graphicData>
            </a:graphic>
          </wp:inline>
        </w:drawing>
      </w:r>
    </w:p>
    <w:p>
      <w:pPr>
        <w:pStyle w:val="TextBody"/>
        <w:bidi w:val="0"/>
        <w:spacing w:before="0" w:after="0"/>
        <w:ind w:left="0" w:right="0" w:hanging="0"/>
        <w:jc w:val="both"/>
        <w:rPr>
          <w:color w:val="336699"/>
        </w:rPr>
      </w:pPr>
      <w:r>
        <w:rPr>
          <w:color w:val="336699"/>
        </w:rPr>
        <w:t>​</w:t>
      </w:r>
    </w:p>
    <w:p>
      <w:pPr>
        <w:pStyle w:val="TextBody"/>
        <w:bidi w:val="0"/>
        <w:spacing w:before="0" w:after="0"/>
        <w:ind w:left="0" w:right="0" w:hanging="0"/>
        <w:jc w:val="both"/>
        <w:rPr>
          <w:rFonts w:ascii="Times New Roman;Times;serif" w:hAnsi="Times New Roman;Times;serif"/>
          <w:b/>
          <w:color w:val="336699"/>
          <w:sz w:val="26"/>
        </w:rPr>
      </w:pPr>
      <w:r>
        <w:rPr>
          <w:rFonts w:ascii="Times New Roman;Times;serif" w:hAnsi="Times New Roman;Times;serif"/>
          <w:b/>
          <w:color w:val="336699"/>
          <w:sz w:val="26"/>
        </w:rPr>
        <w:t>FOR IMMEDIATE RELEASE</w:t>
      </w:r>
    </w:p>
    <w:p>
      <w:pPr>
        <w:pStyle w:val="TextBody"/>
        <w:bidi w:val="0"/>
        <w:spacing w:before="0" w:after="0"/>
        <w:ind w:left="0" w:right="0" w:hanging="0"/>
        <w:jc w:val="both"/>
        <w:rPr>
          <w:rFonts w:ascii="Times New Roman;Times;serif" w:hAnsi="Times New Roman;Times;serif"/>
          <w:color w:val="336699"/>
          <w:sz w:val="22"/>
        </w:rPr>
      </w:pPr>
      <w:r>
        <w:rPr>
          <w:rFonts w:ascii="Times New Roman;Times;serif" w:hAnsi="Times New Roman;Times;serif"/>
          <w:color w:val="336699"/>
          <w:sz w:val="22"/>
        </w:rPr>
        <w:t>Investor and Press Contact:</w:t>
      </w:r>
    </w:p>
    <w:p>
      <w:pPr>
        <w:pStyle w:val="TextBody"/>
        <w:bidi w:val="0"/>
        <w:spacing w:before="0" w:after="0"/>
        <w:ind w:left="0" w:right="0" w:hanging="0"/>
        <w:jc w:val="both"/>
        <w:rPr>
          <w:rFonts w:ascii="Times New Roman;Times;serif" w:hAnsi="Times New Roman;Times;serif"/>
          <w:color w:val="336699"/>
          <w:sz w:val="22"/>
        </w:rPr>
      </w:pPr>
      <w:r>
        <w:rPr>
          <w:rFonts w:ascii="Times New Roman;Times;serif" w:hAnsi="Times New Roman;Times;serif"/>
          <w:color w:val="336699"/>
          <w:sz w:val="22"/>
        </w:rPr>
        <w:t>Lance P. Burke</w:t>
      </w:r>
    </w:p>
    <w:p>
      <w:pPr>
        <w:pStyle w:val="TextBody"/>
        <w:bidi w:val="0"/>
        <w:spacing w:before="0" w:after="0"/>
        <w:ind w:left="0" w:right="0" w:hanging="0"/>
        <w:jc w:val="both"/>
        <w:rPr>
          <w:rFonts w:ascii="Times New Roman;Times;serif" w:hAnsi="Times New Roman;Times;serif"/>
          <w:color w:val="336699"/>
          <w:sz w:val="22"/>
        </w:rPr>
      </w:pPr>
      <w:r>
        <w:rPr>
          <w:rFonts w:ascii="Times New Roman;Times;serif" w:hAnsi="Times New Roman;Times;serif"/>
          <w:color w:val="336699"/>
          <w:sz w:val="22"/>
        </w:rPr>
        <w:t>Chief Financial Officer</w:t>
      </w:r>
    </w:p>
    <w:p>
      <w:pPr>
        <w:pStyle w:val="TextBody"/>
        <w:bidi w:val="0"/>
        <w:spacing w:before="0" w:after="0"/>
        <w:ind w:left="0" w:right="0" w:hanging="0"/>
        <w:jc w:val="both"/>
        <w:rPr>
          <w:rFonts w:ascii="Times New Roman;Times;serif" w:hAnsi="Times New Roman;Times;serif"/>
          <w:color w:val="336699"/>
          <w:sz w:val="22"/>
        </w:rPr>
      </w:pPr>
      <w:r>
        <w:rPr>
          <w:rFonts w:ascii="Times New Roman;Times;serif" w:hAnsi="Times New Roman;Times;serif"/>
          <w:color w:val="336699"/>
          <w:sz w:val="22"/>
        </w:rPr>
        <w:t>(516) 548-8500</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color w:val="336699"/>
          <w:sz w:val="29"/>
        </w:rPr>
      </w:pPr>
      <w:r>
        <w:rPr>
          <w:rFonts w:ascii="Times New Roman;Times;serif" w:hAnsi="Times New Roman;Times;serif"/>
          <w:b/>
          <w:color w:val="336699"/>
          <w:sz w:val="29"/>
        </w:rPr>
        <w:t>Hanover Bancorp, Inc. Reports Second Quarter 2026 Results Highlighted by Increased Net Interest Income and Margin Expansion</w:t>
      </w:r>
    </w:p>
    <w:p>
      <w:pPr>
        <w:pStyle w:val="TextBody"/>
        <w:bidi w:val="0"/>
        <w:spacing w:before="0" w:after="0"/>
        <w:ind w:left="0" w:right="0" w:hanging="0"/>
        <w:jc w:val="center"/>
        <w:rPr>
          <w:rFonts w:ascii="Times New Roman;Times;serif" w:hAnsi="Times New Roman;Times;serif"/>
          <w:b/>
          <w:color w:val="336699"/>
          <w:sz w:val="29"/>
        </w:rPr>
      </w:pPr>
      <w:r>
        <w:rPr>
          <w:rFonts w:ascii="Times New Roman;Times;serif" w:hAnsi="Times New Roman;Times;serif"/>
          <w:b/>
          <w:color w:val="336699"/>
          <w:sz w:val="29"/>
        </w:rPr>
        <w:t>Declares $0.10 Quarterly Cash Dividend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Second Quarter Performance Highlights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Net Income:</w:t>
            </w:r>
            <w:r>
              <w:rPr>
                <w:caps w:val="false"/>
                <w:smallCaps w:val="false"/>
              </w:rPr>
              <w:t xml:space="preserve"> </w:t>
            </w:r>
            <w:bookmarkStart w:id="34" w:name="_Hlk124840663"/>
            <w:bookmarkEnd w:id="34"/>
            <w:r>
              <w:rPr>
                <w:rFonts w:ascii="Times New Roman;Times;serif" w:hAnsi="Times New Roman;Times;serif"/>
                <w:b w:val="false"/>
                <w:i w:val="false"/>
                <w:caps w:val="false"/>
                <w:smallCaps w:val="false"/>
                <w:sz w:val="20"/>
              </w:rPr>
              <w:t>Net income for the quarter ended June 30, 2026 totaled $4.1 million or $0.55 per diluted share (including Series A preferred shares), versus $1.9 million or $0.25 per diluted share (including Series A preferred shares) in the quarter ended March 31, 2026 and $2.4 million or $0.33 per diluted share (including Series A preferred shares) in the quarter ended June 30, 2025.  Adjusted (non-GAAP) net income (excluding debt extinguishment charges and severance expenses) was $4.3 million or $0.58 per diluted share for the quarter ended June 30, 2026, versus adjusted (non-GAAP) net income (excluding severance expenses) of $4.0 million or $0.54 per diluted share in the prior linked quarter and net income of $2.4 million or $0.33 per diluted share in the comparable 2025 quarter (which included no adjustments).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Net Interest Income:</w:t>
            </w:r>
            <w:r>
              <w:rPr>
                <w:caps w:val="false"/>
                <w:smallCaps w:val="false"/>
              </w:rPr>
              <w:t xml:space="preserve"> </w:t>
            </w:r>
            <w:r>
              <w:rPr>
                <w:rFonts w:ascii="Times New Roman;Times;serif" w:hAnsi="Times New Roman;Times;serif"/>
                <w:b w:val="false"/>
                <w:i w:val="false"/>
                <w:caps w:val="false"/>
                <w:smallCaps w:val="false"/>
                <w:sz w:val="20"/>
              </w:rPr>
              <w:t>Net interest income was $16.8 million for the quarter ended June 30, 2026, an increase of $0.4 million, or 2.50% from the quarter ended March 31, 2026 and $2.0 million, or 13.36%, from the quarter ended June 30, 2025, representing a record level.</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Net Interest Margin Expansion:</w:t>
            </w:r>
            <w:r>
              <w:rPr>
                <w:caps w:val="false"/>
                <w:smallCaps w:val="false"/>
              </w:rPr>
              <w:t xml:space="preserve"> </w:t>
            </w:r>
            <w:r>
              <w:rPr>
                <w:rFonts w:ascii="Times New Roman;Times;serif" w:hAnsi="Times New Roman;Times;serif"/>
                <w:b w:val="false"/>
                <w:i w:val="false"/>
                <w:caps w:val="false"/>
                <w:smallCaps w:val="false"/>
                <w:sz w:val="20"/>
              </w:rPr>
              <w:t>The Company’s net interest margin for the quarter ended June 30, 2026 increased to 3.10% from 2.96% for the quarter ended March 31, 2026 and 2.76% in the quarter ended June 30, 2025.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Improved Profitability Metrics:</w:t>
            </w:r>
            <w:r>
              <w:rPr>
                <w:caps w:val="false"/>
                <w:smallCaps w:val="false"/>
              </w:rPr>
              <w:t xml:space="preserve"> </w:t>
            </w:r>
            <w:r>
              <w:rPr>
                <w:rFonts w:ascii="Times New Roman;Times;serif" w:hAnsi="Times New Roman;Times;serif"/>
                <w:b w:val="false"/>
                <w:i w:val="false"/>
                <w:caps w:val="false"/>
                <w:smallCaps w:val="false"/>
                <w:sz w:val="20"/>
              </w:rPr>
              <w:t>Returns on average assets and average tangible equity increased to 0.73% and 8.85%, respectively, for the quarter ended June 30, 2026 from 0.33% and 4.14%, respectively, for the quarter ended March 31, 2026 and 0.44% and 5.46%, respectively, for the quarter ended June 30, 2025.  Adjusted (non-GAAP) returns on average assets and average tangible equity increased to 0.77% and 9.30%, respectively, for the quarter ended June 30, 2026 from 0.70% and 8.83%, respectively, for the quarter ended March 31, 2026 and 0.44% and 5.46%, respectively, for the quarter ended June 30, 2025.</w:t>
            </w:r>
            <w:r>
              <w:rPr>
                <w:caps w:val="false"/>
                <w:smallCaps w:val="false"/>
              </w:rPr>
              <w:t xml:space="preserve">  </w:t>
            </w:r>
            <w:r>
              <w:rPr>
                <w:rFonts w:ascii="Times New Roman;Times;serif" w:hAnsi="Times New Roman;Times;serif"/>
                <w:b w:val="false"/>
                <w:i w:val="false"/>
                <w:caps w:val="false"/>
                <w:smallCaps w:val="false"/>
                <w:sz w:val="20"/>
              </w:rPr>
              <w:t>Pre-provision net revenue return on average assets increased to 1.06% for the quarter ended June 30, 2026 from 0.62% for the quarter ended March 31, 2026 and 1.04% for the quarter ended June 30, 2025.  Adjusted pre-provision net revenue return on average assets increased to 1.11% for the quarter ended June 30, 2026 from 1.02% for the quarter ended March 31, 2026 and 1.04% for the quarter ended June 30, 2025.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Demand Deposits: </w:t>
            </w:r>
            <w:r>
              <w:rPr>
                <w:rFonts w:ascii="Times New Roman;Times;serif" w:hAnsi="Times New Roman;Times;serif"/>
                <w:b w:val="false"/>
                <w:i w:val="false"/>
                <w:caps w:val="false"/>
                <w:smallCaps w:val="false"/>
                <w:sz w:val="20"/>
              </w:rPr>
              <w:t>Demand deposits increased $16.9 million or 7.13% to a record $254.3 million at June 30, 2026 from March 31, 2026 and increased $6.5 million or 2.62% from December 31, 2025, driven by the success of our C&amp;I banking relationships and an increase in municipal operating accounts.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Share Repurchases:</w:t>
            </w:r>
            <w:r>
              <w:rPr>
                <w:caps w:val="false"/>
                <w:smallCaps w:val="false"/>
              </w:rPr>
              <w:t xml:space="preserve"> </w:t>
            </w:r>
            <w:r>
              <w:rPr>
                <w:rFonts w:ascii="Times New Roman;Times;serif" w:hAnsi="Times New Roman;Times;serif"/>
                <w:b w:val="false"/>
                <w:i w:val="false"/>
                <w:caps w:val="false"/>
                <w:smallCaps w:val="false"/>
                <w:sz w:val="20"/>
              </w:rPr>
              <w:t>For the quarter ended June 30, 2026, the Company repurchased 112,346 shares of its common stock, which represented approximately 1.6% of shares outstanding at the beginning of the period, at a weighted average price of $23.54 per share.  Of the 366,050 shares authorized under the Company’s share repurchase program, 171,729 shares remain available for repurchase as of June 30, 2026.</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Appointment of New President:</w:t>
            </w:r>
            <w:r>
              <w:rPr>
                <w:caps w:val="false"/>
                <w:smallCaps w:val="false"/>
              </w:rPr>
              <w:t xml:space="preserve"> </w:t>
            </w:r>
            <w:r>
              <w:rPr>
                <w:rFonts w:ascii="Times New Roman;Times;serif" w:hAnsi="Times New Roman;Times;serif"/>
                <w:b w:val="false"/>
                <w:i w:val="false"/>
                <w:caps w:val="false"/>
                <w:smallCaps w:val="false"/>
                <w:sz w:val="20"/>
              </w:rPr>
              <w:t>As previously announced on July 20, 2026, Kevin O’Connor has been named to the position of President of the Company and the Bank effective July 27, 2026.  Mr. O’Connor brings more than 35 years of banking experience to Hanover Bank, having most recently served as Long Island Market President at Valley Bank.</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Quarterly Cash Dividend:</w:t>
            </w:r>
            <w:r>
              <w:rPr>
                <w:caps w:val="false"/>
                <w:smallCaps w:val="false"/>
              </w:rPr>
              <w:t xml:space="preserve"> </w:t>
            </w:r>
            <w:r>
              <w:rPr>
                <w:rFonts w:ascii="Times New Roman;Times;serif" w:hAnsi="Times New Roman;Times;serif"/>
                <w:b w:val="false"/>
                <w:i w:val="false"/>
                <w:caps w:val="false"/>
                <w:smallCaps w:val="false"/>
                <w:sz w:val="20"/>
              </w:rPr>
              <w:t>The Company’s Board of Directors approved a $0.10 per share cash dividend on both common shares and Series A preferred shares payable on August 13, 2026 to stockholders of record on August 6,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Riverhead Branch:</w:t>
            </w:r>
            <w:r>
              <w:rPr>
                <w:caps w:val="false"/>
                <w:smallCaps w:val="false"/>
              </w:rPr>
              <w:t xml:space="preserve"> </w:t>
            </w:r>
            <w:r>
              <w:rPr>
                <w:rFonts w:ascii="Times New Roman;Times;serif" w:hAnsi="Times New Roman;Times;serif"/>
                <w:b w:val="false"/>
                <w:i w:val="false"/>
                <w:caps w:val="false"/>
                <w:smallCaps w:val="false"/>
                <w:sz w:val="20"/>
              </w:rPr>
              <w:t>Our new full-service branch in downtown Riverhead, New York is currently on schedule and is expected to open its doors in the third quarter of 2026.  This expansion will allow us to better serve the East End of Long Island with our complete suite of financial and banking services.</w:t>
            </w:r>
          </w:p>
        </w:tc>
      </w:tr>
    </w:tbl>
    <w:p>
      <w:pPr>
        <w:pStyle w:val="TextBody"/>
        <w:bidi w:val="0"/>
        <w:spacing w:before="0" w:after="0"/>
        <w:ind w:left="108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35" w:name="_Hlk124888252"/>
      <w:bookmarkEnd w:id="35"/>
      <w:r>
        <w:rPr>
          <w:rFonts w:ascii="Times New Roman;Times;serif" w:hAnsi="Times New Roman;Times;serif"/>
          <w:b/>
          <w:sz w:val="20"/>
        </w:rPr>
        <w:t>Mineola, NY – July 23, 2026 –</w:t>
      </w:r>
      <w:r>
        <w:rPr>
          <w:rFonts w:ascii="Times New Roman;Times;serif" w:hAnsi="Times New Roman;Times;serif"/>
          <w:sz w:val="20"/>
        </w:rPr>
        <w:t xml:space="preserve"> Hanover Bancorp, Inc. (“Hanover” or “the Company” – NASDAQ: HNVR), the holding company for Hanover Community Bank (“the Bank”), today reported results for the quarter ended June 30, 2026 and the declaration of a $0.10 per share cash dividend on both common shares and Series A preferred shares payable on August 13, 2026 to stockholders of record on August 6, 2026.</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Earnings Summary for the Quarter Ended June 30,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w:t>
      </w:r>
      <w:bookmarkStart w:id="36" w:name="_Hlk163828492"/>
      <w:bookmarkEnd w:id="36"/>
      <w:r>
        <w:rPr>
          <w:rFonts w:ascii="Times New Roman;Times;serif" w:hAnsi="Times New Roman;Times;serif"/>
          <w:sz w:val="20"/>
        </w:rPr>
        <w:t>Company reported net income for the quarter ended June 30, 2026 of $4.1 million or $0.55 per diluted share (including Series A preferred shares) versus $2.4 million or $0.33 per diluted share (including Series A preferred shares) for the quarter ended June 30, 2025.  The Company recorded adjusted (non-GAAP) net income (excluding debt extinguishment charges and severance expenses of $0.2 million, net of tax) of $4.3 million or $0.58 per diluted share in the quarter ended June 30, 2026, versus net income of $2.4 million or $0.33 per diluted share in the comparable 2025 quarter (which included no adjustments).  Returns on average assets, average stockholders’ equity and average tangible equity were 0.73%, 8.01% and 8.85%, respectively, for the quarter ended June 30, 2026, versus 0.44%, 4.93% and 5.46%, respectively, for the comparable quarter of 2025.  Adjusted (non-GAAP) returns, exclusive of debt extinguishment charges and severance expenses, on average assets, average stockholders’ equity and average tangible equity were 0.77%, 8.42% and 9.30%, respectively, in the quarter ended June 30, 2026, versus 0.44%, 4.93% and 5.46%, respectively, in the comparable 2025 quarter, which included no adjustments for the 2025 quarter.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increase in net income recorded in the second quarter of 2026 from the comparable 2025 quarter resulted from an increase in net interest income and a decrease in provision for credit losses.  This was partially offset by a decrease in non-interest income, consisting primarily of a decrease in gain on sale of loans held-for-sale, an increase in non-interest expense, which includes $240 thousand debt extinguishment charges in the 2026 quarter, and an increase in income tax expense.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interest income was $16.8 million for the quarter ended June 30, 2026, an increase of $2.0 million, or 13.36% from the comparable 2025 quarter.  This increase was due to improvement in the Company’s net interest margin to 3.10% in the 2026 quarter from 2.76% in the comparable 2025 quarter.  The cost of interest-bearing liabilities decreased to 3.46% in the 2026 quarter from 3.94% in the comparable 2025 quarter, a decrease of 48 basis points.  This decrease was partially offset by a 5 basis point decrease in the yield on interest earning assets to 5.93% in the 2026 quarter from 5.98% in the second quarter of 2025.  Net interest income on a linked quarter basis increased $0.4 million or 2.50%, resulting from a 9 basis point increase in the yield on interest earning assets and a 5 basis point decrease in cost of interest-bearing liabilities.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Earnings Summary for the Six Months Ended June 30,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six months ended June 30, 2026, the Company reported net income of $5.9 million or $0.80 per diluted share (including Series A preferred shares), versus $4.0 million or $0.53 per diluted share (including Series A preferred shares) in the comparable 2025 six-month period.  The Company recorded adjusted (non-GAAP) net income (excluding debt extinguishment charges and severance expenses of $2.3 million, net of tax) of $8.3 million or $1.11 per diluted share in the six months ended June 30, 2026, versus adjusted (non-GAAP) net income (excluding core system conversion expenses of $2.6 million, net of tax) of $6.5 million or $0.87 per diluted share in the comparable 2025 six-month period.  Returns on average assets, average stockholders’ equity and average tangible equity were 0.53%, 5.89% and 6.51%, respectively, for the six months ended June 30, 2026, versus 0.36%, 4.02% and 4.46%, respectively, for the comparable 2025 period.  Adjusted (non-GAAP) returns, exclusive of debt extinguishment charges and severance expenses, on average assets, average stockholders’ equity and average tangible equity were 0.73%, 8.20% and 9.07%, respectively, in the six months ended June 30, 2026, versus 0.59%, 6.63% and 7.35%, respectively, in the comparable 2025 period, exclusive of core system conversion expenses.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increase in net income recorded for the six months ended June 30, 2026 from the comparable 2025 period is due to an increase in net interest income and a decrease in the provision for credit losses.  These were partially offset by a decrease in non-interest income, consisting primarily of a decrease in gain on sale of loans held-for-sale, an increase in income tax expense and an increase in non-interest expenses, particularly compensation and benefits, severance expenses, occupancy and equipment and other operating expenses which included $240 thousand debt extinguishment charges.  Severance expenses for the six months ended June 30, 2026 were primarily related to a severance benefit of approximately $2.2 million to the former President of the Company and the Bank whose last day of employment was March 31,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interest income was $33.1 million for the six months ended June 30, 2026, an increase of $3.7 million, or 12.61% from the comparable 2025 period, due to the improvement of the Company’s net interest margin to 3.03% in the 2026 period from 2.72% in the comparable 2025 period.  The cost of interest-bearing liabilities decreased to 3.48% in the six months ended June 30, 2026 from 3.98% in the comparable 2025 period, a decrease of 50 basis points.  This decrease was partially offset by an 11 basis point decrease in the yield on interest earning assets to 5.88% in the 2026 period from 5.99% in the comparable 2025 period.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Michael P. Puorro, Chairman, President and Chief Executive Officer, commented on the Company’s quarterly results:  “We are pleased to deliver solid second quarter results, highlighted by record net interest income and record demand deposits.  By capitalizing on market opportunities and maintaining strict operating discipline, we achieved meaningful margin expansion and improved our core profitability metrics.  Our ongoing commitment to share buybacks and dividends reflects our confidence in the Company’s financial strength and our dedication to delivering long-term shareholder returns.  Further, we are excited to welcome Kevin O’Connor to the team.  As we expand our Long Island footprint, his reputation in the community banking sector complements our growth strategies.  We look forward to working together to increase market share in this underserved region.</w:t>
      </w:r>
      <w:r>
        <w:rPr>
          <w:rFonts w:ascii="Times New Roman;Times;serif" w:hAnsi="Times New Roman;Times;serif"/>
          <w:spacing w:val="2"/>
          <w:sz w:val="20"/>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Sheet Highlights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37" w:name="_Hlk156907675"/>
      <w:bookmarkEnd w:id="37"/>
      <w:r>
        <w:rPr>
          <w:rFonts w:ascii="Times New Roman;Times;serif" w:hAnsi="Times New Roman;Times;serif"/>
          <w:sz w:val="20"/>
        </w:rPr>
        <w:t>Total assets were $2.34 billion at June 30, 2026 versus $2.38 billion at December 31, 2025.  Total securities available for sale (“AFS”) at June 30, 2026 were $135.0 million, an increase of $35.5 million from December 31, 2025, primarily driven by growth in U.S. GSE residential mortgage-backed securities, collateralized loan obligations and corporate bonds, offset by decreases in U.S. Treasury securities and collateralized mortgage obligations.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38" w:name="_Hlk163828503"/>
      <w:bookmarkEnd w:id="38"/>
      <w:r>
        <w:rPr>
          <w:rFonts w:ascii="Times New Roman;Times;serif" w:hAnsi="Times New Roman;Times;serif"/>
          <w:sz w:val="20"/>
        </w:rPr>
        <w:t>Total deposits were $2.01 billion at June 30, 2026 versus $2.03 billion at December 31, 2025.  Our loan to deposit ratio was 99% both at June 30, 2026 and December 31,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Borrowings at June 30, 2026 were $59.8 million, with a weighted average rate and term of 3.49% and 51 months, respectively.  At June 30, 2026 and December 31, 2025, the Company had $59.8 million (net of $440 thousand deferred prepayment penalty) and $100.7 million, respectively, of term FHLB advances outstanding.  The Company had no FHLB overnight borrowings outstanding at June 30, 2026 and December 31, 2025.  The Company had no borrowings outstanding under lines of credit with correspondent banks at June 30, 2026 and December 31,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Stockholders’ equity was $202.7 million at June 30, 2026 as compared to $200.3 million at December 31, 2025.  Retained earnings increased by $4.4 million due primarily to net income of $5.9 million for the six months ended June 30, 2026, which was offset by $1.5 million of dividends declared.  The accumulated other comprehensive loss at June 30, 2026 was 0.28% of total equity and was comprised of a $0.5 million after tax net unrealized loss on the investment portfolio and a $0.1 million after tax net unrealized loss on derivatives.  During the six months ended June 30, 2026, the Company repurchased 112,346 shares of its common stock at an aggregate cost of $2.6 million.  As of June 30, 2026, 171,729 shares remained available for repurchase under the Company’s stock repurchase program.  Book value per share (including Series A preferred shares) increased to $27.66 at June 30, 2026 from $27.02 at December 31, 2025.  Tangible book value per share (including Series A preferred shares) increased to $25.02 at June 30, 2026 from $24.41 at December 31,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Loan Portfolio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39" w:name="_Hlk149037787"/>
      <w:bookmarkStart w:id="40" w:name="_Hlk163828517"/>
      <w:bookmarkEnd w:id="39"/>
      <w:bookmarkEnd w:id="40"/>
      <w:r>
        <w:rPr>
          <w:rFonts w:ascii="Times New Roman;Times;serif" w:hAnsi="Times New Roman;Times;serif"/>
          <w:sz w:val="20"/>
        </w:rPr>
        <w:t>The Bank’s loan portfolio was $2.00 billion at June 30, 2026 and December 31, 2025.  At June 30, 2026, the Company’s residential loan portfolio (including home equity) amounted to $764.2 million, with an average loan balance of $487 thousand and a weighted average loan-to-value ratio of 56%.  Commercial real estate (including construction) and multifamily loans totaled $1.08 billion at June 30, 2026, with an average loan balance of $1.5 million and a weighted average loan-to-value ratio of 58%.  As discussed below, approximately 37% of the multifamily portfolio is subject to rent regulation.  The Company’s commercial real estate concentration ratio continues to improve, decreasing to 346% of capital at June 30, 2026 from 362% at December 31, 2025, with loans secured by office space accounting for 2% of the total loan portfolio and totaling $40.2 million at June 30, 2026.  The Company’s loan pipeline at June 30, 2026 is approximately $223.0 million, with approximately 50% being niche-residential, SBA and USDA lending opportunities.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Bank originates loans for its portfolio and for sale in the secondary market under a residential flow origination program.  During the quarters ended June 30, 2026 and 2025, the Company sold $27.2 million and $23.7 million, respectively, of residential loans under its flow origination program and recorded gains on sale of loans held-for-sale of $0.7 million and $0.5 million, respectively.  Residential loan originations were $57 million for the quarter ended June 30, 2026.</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quarters ended June 30, 2026 and 2025, the Company sold approximately $8.3 million and $22.3 million, respectively, of government guaranteed SBA loans and recorded gains on sale of loans held-for-sale of $0.7 million and $1.8 million, respectively.  SBA loan originations and gains on sale continue to be lower due to a less favorable economic outlook for many business owners along with the Bank’s ongoing prudent decision to tighten credit. Together, these factors contributed to lower SBA loan volume, approval levels, and related gain-on-sale income.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Commercial Real Estate Statistics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significant portion of the Bank’s commercial real estate portfolio consists of loans secured by Multifamily and CRE-Investor owned real estate that are predominantly subject to fixed interest rates for an initial period of 5 years.  The Bank’s exposure to Land/Construction loans as of June 30, 2026 is not significant at $10.3 million, all at floating interest rates.  As shown below, as of June 30, 2026, 16% of the loan balances in these combined portfolios will either have a rate reset or mature in 2026, with another 54% with rate resets or maturing in 2027.</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54"/>
        <w:gridCol w:w="425"/>
        <w:gridCol w:w="496"/>
        <w:gridCol w:w="226"/>
        <w:gridCol w:w="225"/>
        <w:gridCol w:w="673"/>
        <w:gridCol w:w="226"/>
        <w:gridCol w:w="246"/>
        <w:gridCol w:w="557"/>
        <w:gridCol w:w="146"/>
        <w:gridCol w:w="399"/>
        <w:gridCol w:w="285"/>
        <w:gridCol w:w="346"/>
        <w:gridCol w:w="1139"/>
        <w:gridCol w:w="226"/>
        <w:gridCol w:w="496"/>
        <w:gridCol w:w="109"/>
        <w:gridCol w:w="225"/>
        <w:gridCol w:w="673"/>
        <w:gridCol w:w="286"/>
        <w:gridCol w:w="246"/>
        <w:gridCol w:w="557"/>
        <w:gridCol w:w="109"/>
        <w:gridCol w:w="392"/>
        <w:gridCol w:w="343"/>
      </w:tblGrid>
      <w:tr>
        <w:trPr/>
        <w:tc>
          <w:tcPr>
            <w:tcW w:w="1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732790" cy="175260"/>
                      <wp:effectExtent l="0" t="0" r="0" b="0"/>
                      <wp:wrapNone/>
                      <wp:docPr id="3" name="Frame2"/>
                      <a:graphic xmlns:a="http://schemas.openxmlformats.org/drawingml/2006/main">
                        <a:graphicData uri="http://schemas.microsoft.com/office/word/2010/wordprocessingShape">
                          <wps:wsp>
                            <wps:cNvSpPr txBox="1"/>
                            <wps:spPr>
                              <a:xfrm>
                                <a:off x="0" y="0"/>
                                <a:ext cx="732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69875" cy="175260"/>
                      <wp:effectExtent l="0" t="0" r="0" b="0"/>
                      <wp:wrapNone/>
                      <wp:docPr id="4" name="Frame3"/>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14960" cy="175260"/>
                      <wp:effectExtent l="0" t="0" r="0" b="0"/>
                      <wp:wrapNone/>
                      <wp:docPr id="5" name="Frame4"/>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3510" cy="175260"/>
                      <wp:effectExtent l="0" t="0" r="0" b="0"/>
                      <wp:wrapNone/>
                      <wp:docPr id="6" name="Frame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42875" cy="175260"/>
                      <wp:effectExtent l="0" t="0" r="0" b="0"/>
                      <wp:wrapNone/>
                      <wp:docPr id="7" name="Frame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27355" cy="175260"/>
                      <wp:effectExtent l="0" t="0" r="0" b="0"/>
                      <wp:wrapNone/>
                      <wp:docPr id="8" name="Frame7"/>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43510" cy="175260"/>
                      <wp:effectExtent l="0" t="0" r="0" b="0"/>
                      <wp:wrapNone/>
                      <wp:docPr id="9" name="Frame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56210" cy="175260"/>
                      <wp:effectExtent l="0" t="0" r="0" b="0"/>
                      <wp:wrapNone/>
                      <wp:docPr id="10" name="Frame9"/>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53695" cy="175260"/>
                      <wp:effectExtent l="0" t="0" r="0" b="0"/>
                      <wp:wrapNone/>
                      <wp:docPr id="11" name="Frame10"/>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2710" cy="175260"/>
                      <wp:effectExtent l="0" t="0" r="0" b="0"/>
                      <wp:wrapNone/>
                      <wp:docPr id="12" name="Frame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53365" cy="175260"/>
                      <wp:effectExtent l="0" t="0" r="0" b="0"/>
                      <wp:wrapNone/>
                      <wp:docPr id="13" name="Frame12"/>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80975" cy="175260"/>
                      <wp:effectExtent l="0" t="0" r="0" b="0"/>
                      <wp:wrapNone/>
                      <wp:docPr id="14" name="Frame13"/>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723265" cy="175260"/>
                      <wp:effectExtent l="0" t="0" r="0" b="0"/>
                      <wp:wrapNone/>
                      <wp:docPr id="16" name="Frame15"/>
                      <a:graphic xmlns:a="http://schemas.openxmlformats.org/drawingml/2006/main">
                        <a:graphicData uri="http://schemas.microsoft.com/office/word/2010/wordprocessingShape">
                          <wps:wsp>
                            <wps:cNvSpPr txBox="1"/>
                            <wps:spPr>
                              <a:xfrm>
                                <a:off x="0" y="0"/>
                                <a:ext cx="723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3510" cy="175260"/>
                      <wp:effectExtent l="0" t="0" r="0" b="0"/>
                      <wp:wrapNone/>
                      <wp:docPr id="17" name="Frame1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14960" cy="175260"/>
                      <wp:effectExtent l="0" t="0" r="0" b="0"/>
                      <wp:wrapNone/>
                      <wp:docPr id="18" name="Frame17"/>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9"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2875" cy="175260"/>
                      <wp:effectExtent l="0" t="0" r="0" b="0"/>
                      <wp:wrapNone/>
                      <wp:docPr id="20" name="Frame19"/>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27355" cy="175260"/>
                      <wp:effectExtent l="0" t="0" r="0" b="0"/>
                      <wp:wrapNone/>
                      <wp:docPr id="21" name="Frame20"/>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81610" cy="175260"/>
                      <wp:effectExtent l="0" t="0" r="0" b="0"/>
                      <wp:wrapNone/>
                      <wp:docPr id="22" name="Frame2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56210" cy="175260"/>
                      <wp:effectExtent l="0" t="0" r="0" b="0"/>
                      <wp:wrapNone/>
                      <wp:docPr id="23" name="Frame22"/>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53695" cy="175260"/>
                      <wp:effectExtent l="0" t="0" r="0" b="0"/>
                      <wp:wrapNone/>
                      <wp:docPr id="24" name="Frame23"/>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48920" cy="175260"/>
                      <wp:effectExtent l="0" t="0" r="0" b="0"/>
                      <wp:wrapNone/>
                      <wp:docPr id="26" name="Frame25"/>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7805" cy="175260"/>
                      <wp:effectExtent l="0" t="0" r="0" b="0"/>
                      <wp:wrapNone/>
                      <wp:docPr id="27" name="Frame26"/>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58" w:type="dxa"/>
            <w:gridSpan w:val="1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Multifamily Market Rent Portfolio Fixed Rate Reset/Maturity Schedule</w:t>
            </w:r>
          </w:p>
        </w:tc>
        <w:tc>
          <w:tcPr>
            <w:tcW w:w="34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4801" w:type="dxa"/>
            <w:gridSpan w:val="1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Multifamily Stabilized Rent Portfolio Fixed Rate Reset/Maturity Schedule</w:t>
            </w:r>
          </w:p>
        </w:tc>
      </w:tr>
      <w:tr>
        <w:trPr/>
        <w:tc>
          <w:tcPr>
            <w:tcW w:w="1154"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Calendar Period (Loan Data as of 6/30/2026)</w:t>
            </w:r>
          </w:p>
        </w:tc>
        <w:tc>
          <w:tcPr>
            <w:tcW w:w="425" w:type="dxa"/>
            <w:tcBorders/>
            <w:vAlign w:val="center"/>
          </w:tcPr>
          <w:p>
            <w:pPr>
              <w:pStyle w:val="TableContents"/>
              <w:bidi w:val="0"/>
              <w:spacing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 Loans</w:t>
            </w:r>
          </w:p>
        </w:tc>
        <w:tc>
          <w:tcPr>
            <w:tcW w:w="226" w:type="dxa"/>
            <w:tcBorders/>
            <w:vAlign w:val="center"/>
          </w:tcPr>
          <w:p>
            <w:pPr>
              <w:pStyle w:val="TableContents"/>
              <w:bidi w:val="0"/>
              <w:spacing w:before="0" w:after="0"/>
              <w:ind w:left="0" w:right="0" w:hanging="0"/>
              <w:jc w:val="left"/>
              <w:rPr/>
            </w:pPr>
            <w:r>
              <w:rPr/>
              <w:t>  ​</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Total O/S ($000's omitted)</w:t>
            </w:r>
          </w:p>
        </w:tc>
        <w:tc>
          <w:tcPr>
            <w:tcW w:w="226" w:type="dxa"/>
            <w:tcBorders/>
            <w:vAlign w:val="center"/>
          </w:tcPr>
          <w:p>
            <w:pPr>
              <w:pStyle w:val="TableContents"/>
              <w:bidi w:val="0"/>
              <w:spacing w:before="0" w:after="0"/>
              <w:ind w:left="0" w:right="0" w:hanging="0"/>
              <w:jc w:val="left"/>
              <w:rPr/>
            </w:pPr>
            <w:r>
              <w:rPr/>
              <w:t>  ​</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Avg O/S ($000's omitted)</w:t>
            </w:r>
          </w:p>
        </w:tc>
        <w:tc>
          <w:tcPr>
            <w:tcW w:w="146" w:type="dxa"/>
            <w:tcBorders/>
            <w:vAlign w:val="center"/>
          </w:tcPr>
          <w:p>
            <w:pPr>
              <w:pStyle w:val="TableContents"/>
              <w:bidi w:val="0"/>
              <w:spacing w:before="0" w:after="0"/>
              <w:ind w:left="0" w:right="0" w:hanging="0"/>
              <w:jc w:val="left"/>
              <w:rPr/>
            </w:pPr>
            <w:r>
              <w:rPr/>
              <w:t>​</w:t>
            </w:r>
          </w:p>
        </w:tc>
        <w:tc>
          <w:tcPr>
            <w:tcW w:w="684"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Avg Interest Rate</w:t>
            </w:r>
          </w:p>
        </w:tc>
        <w:tc>
          <w:tcPr>
            <w:tcW w:w="34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  ​ ​ ​</w:t>
            </w:r>
          </w:p>
        </w:tc>
        <w:tc>
          <w:tcPr>
            <w:tcW w:w="1139"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Calendar Period (Loan Data as of 6/30/2026)</w:t>
            </w:r>
          </w:p>
        </w:tc>
        <w:tc>
          <w:tcPr>
            <w:tcW w:w="226" w:type="dxa"/>
            <w:tcBorders/>
            <w:vAlign w:val="center"/>
          </w:tcPr>
          <w:p>
            <w:pPr>
              <w:pStyle w:val="TableContents"/>
              <w:bidi w:val="0"/>
              <w:spacing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 Loans</w:t>
            </w:r>
          </w:p>
        </w:tc>
        <w:tc>
          <w:tcPr>
            <w:tcW w:w="109" w:type="dxa"/>
            <w:tcBorders/>
            <w:vAlign w:val="center"/>
          </w:tcPr>
          <w:p>
            <w:pPr>
              <w:pStyle w:val="TableContents"/>
              <w:bidi w:val="0"/>
              <w:spacing w:before="0" w:after="0"/>
              <w:ind w:left="0" w:right="0" w:hanging="0"/>
              <w:jc w:val="left"/>
              <w:rPr/>
            </w:pPr>
            <w:r>
              <w:rPr/>
              <w:t>​</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Total O/S ($000's omitted)</w:t>
            </w:r>
          </w:p>
        </w:tc>
        <w:tc>
          <w:tcPr>
            <w:tcW w:w="286" w:type="dxa"/>
            <w:tcBorders/>
            <w:vAlign w:val="center"/>
          </w:tcPr>
          <w:p>
            <w:pPr>
              <w:pStyle w:val="TableContents"/>
              <w:bidi w:val="0"/>
              <w:spacing w:before="0" w:after="0"/>
              <w:ind w:left="0" w:right="0" w:hanging="0"/>
              <w:jc w:val="left"/>
              <w:rPr/>
            </w:pPr>
            <w:r>
              <w:rPr/>
              <w:t>  ​ ​</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Avg O/S ($000's omitted)</w:t>
            </w:r>
          </w:p>
        </w:tc>
        <w:tc>
          <w:tcPr>
            <w:tcW w:w="109" w:type="dxa"/>
            <w:tcBorders/>
            <w:vAlign w:val="center"/>
          </w:tcPr>
          <w:p>
            <w:pPr>
              <w:pStyle w:val="TableContents"/>
              <w:bidi w:val="0"/>
              <w:spacing w:before="0" w:after="0"/>
              <w:ind w:left="0" w:right="0" w:hanging="0"/>
              <w:jc w:val="left"/>
              <w:rPr/>
            </w:pPr>
            <w:r>
              <w:rPr/>
              <w:t>​</w:t>
            </w:r>
          </w:p>
        </w:tc>
        <w:tc>
          <w:tcPr>
            <w:tcW w:w="735"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Avg Interest Rate</w:t>
            </w:r>
          </w:p>
        </w:tc>
      </w:tr>
      <w:tr>
        <w:trPr/>
        <w:tc>
          <w:tcPr>
            <w:tcW w:w="1154"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c>
          <w:tcPr>
            <w:tcW w:w="28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 </w:t>
            </w:r>
          </w:p>
        </w:tc>
        <w:tc>
          <w:tcPr>
            <w:tcW w:w="1139"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343" w:type="dxa"/>
            <w:tcBorders>
              <w:right w:val="single" w:sz="2" w:space="0" w:color="000000"/>
            </w:tcBorders>
            <w:tcMar>
              <w:right w:w="28" w:type="dxa"/>
            </w:tcMar>
            <w:vAlign w:val="center"/>
          </w:tcPr>
          <w:p>
            <w:pPr>
              <w:pStyle w:val="TableContents"/>
              <w:bidi w:val="0"/>
              <w:spacing w:before="0" w:after="0"/>
              <w:ind w:left="0" w:right="0" w:hanging="0"/>
              <w:jc w:val="left"/>
              <w:rPr/>
            </w:pPr>
            <w:r>
              <w:rPr/>
              <w:t>  ​</w:t>
            </w:r>
          </w:p>
        </w:tc>
      </w:tr>
      <w:tr>
        <w:trPr/>
        <w:tc>
          <w:tcPr>
            <w:tcW w:w="1154"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2026</w:t>
            </w:r>
          </w:p>
        </w:tc>
        <w:tc>
          <w:tcPr>
            <w:tcW w:w="425"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w:t>
            </w:r>
          </w:p>
        </w:tc>
        <w:tc>
          <w:tcPr>
            <w:tcW w:w="2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70,753</w:t>
            </w:r>
          </w:p>
        </w:tc>
        <w:tc>
          <w:tcPr>
            <w:tcW w:w="2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3,216</w:t>
            </w:r>
          </w:p>
        </w:tc>
        <w:tc>
          <w:tcPr>
            <w:tcW w:w="14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3.62</w:t>
            </w:r>
          </w:p>
        </w:tc>
        <w:tc>
          <w:tcPr>
            <w:tcW w:w="285"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left"/>
              <w:rPr/>
            </w:pPr>
            <w:r>
              <w:rPr/>
              <w:t>​</w:t>
            </w:r>
          </w:p>
        </w:tc>
        <w:tc>
          <w:tcPr>
            <w:tcW w:w="113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2026</w:t>
            </w:r>
          </w:p>
        </w:tc>
        <w:tc>
          <w:tcPr>
            <w:tcW w:w="2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25,609</w:t>
            </w:r>
          </w:p>
        </w:tc>
        <w:tc>
          <w:tcPr>
            <w:tcW w:w="28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2,328</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3.96</w:t>
            </w:r>
          </w:p>
        </w:tc>
        <w:tc>
          <w:tcPr>
            <w:tcW w:w="343"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1154" w:type="dxa"/>
            <w:tcBorders>
              <w:left w:val="single" w:sz="2" w:space="0" w:color="000000"/>
            </w:tcBorders>
            <w:tcMar>
              <w:left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2027</w:t>
            </w:r>
          </w:p>
        </w:tc>
        <w:tc>
          <w:tcPr>
            <w:tcW w:w="425"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70</w:t>
            </w:r>
          </w:p>
        </w:tc>
        <w:tc>
          <w:tcPr>
            <w:tcW w:w="2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184,958</w:t>
            </w:r>
          </w:p>
        </w:tc>
        <w:tc>
          <w:tcPr>
            <w:tcW w:w="2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2,642</w:t>
            </w:r>
          </w:p>
        </w:tc>
        <w:tc>
          <w:tcPr>
            <w:tcW w:w="146"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4.39</w:t>
            </w:r>
          </w:p>
        </w:tc>
        <w:tc>
          <w:tcPr>
            <w:tcW w:w="285"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1139" w:type="dxa"/>
            <w:tcBorders>
              <w:left w:val="single" w:sz="2" w:space="0" w:color="000000"/>
            </w:tcBorders>
            <w:tcMar>
              <w:left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2027</w:t>
            </w:r>
          </w:p>
        </w:tc>
        <w:tc>
          <w:tcPr>
            <w:tcW w:w="2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52</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126,943</w:t>
            </w:r>
          </w:p>
        </w:tc>
        <w:tc>
          <w:tcPr>
            <w:tcW w:w="28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2,441</w:t>
            </w:r>
          </w:p>
        </w:tc>
        <w:tc>
          <w:tcPr>
            <w:tcW w:w="10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4.29</w:t>
            </w:r>
          </w:p>
        </w:tc>
        <w:tc>
          <w:tcPr>
            <w:tcW w:w="343"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1154"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2028</w:t>
            </w:r>
          </w:p>
        </w:tc>
        <w:tc>
          <w:tcPr>
            <w:tcW w:w="425"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w:t>
            </w:r>
          </w:p>
        </w:tc>
        <w:tc>
          <w:tcPr>
            <w:tcW w:w="2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20,517</w:t>
            </w:r>
          </w:p>
        </w:tc>
        <w:tc>
          <w:tcPr>
            <w:tcW w:w="2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1,368</w:t>
            </w:r>
          </w:p>
        </w:tc>
        <w:tc>
          <w:tcPr>
            <w:tcW w:w="14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6.14</w:t>
            </w:r>
          </w:p>
        </w:tc>
        <w:tc>
          <w:tcPr>
            <w:tcW w:w="285"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left"/>
              <w:rPr/>
            </w:pPr>
            <w:r>
              <w:rPr/>
              <w:t>​</w:t>
            </w:r>
          </w:p>
        </w:tc>
        <w:tc>
          <w:tcPr>
            <w:tcW w:w="113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2028</w:t>
            </w:r>
          </w:p>
        </w:tc>
        <w:tc>
          <w:tcPr>
            <w:tcW w:w="2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8,318</w:t>
            </w:r>
          </w:p>
        </w:tc>
        <w:tc>
          <w:tcPr>
            <w:tcW w:w="28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832</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6.84</w:t>
            </w:r>
          </w:p>
        </w:tc>
        <w:tc>
          <w:tcPr>
            <w:tcW w:w="343"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1154" w:type="dxa"/>
            <w:tcBorders>
              <w:left w:val="single" w:sz="2" w:space="0" w:color="000000"/>
            </w:tcBorders>
            <w:tcMar>
              <w:left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2029</w:t>
            </w:r>
          </w:p>
        </w:tc>
        <w:tc>
          <w:tcPr>
            <w:tcW w:w="425"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w:t>
            </w:r>
          </w:p>
        </w:tc>
        <w:tc>
          <w:tcPr>
            <w:tcW w:w="2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11,120</w:t>
            </w:r>
          </w:p>
        </w:tc>
        <w:tc>
          <w:tcPr>
            <w:tcW w:w="2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1,589</w:t>
            </w:r>
          </w:p>
        </w:tc>
        <w:tc>
          <w:tcPr>
            <w:tcW w:w="146"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6.58</w:t>
            </w:r>
          </w:p>
        </w:tc>
        <w:tc>
          <w:tcPr>
            <w:tcW w:w="285"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1139" w:type="dxa"/>
            <w:tcBorders>
              <w:left w:val="single" w:sz="2" w:space="0" w:color="000000"/>
            </w:tcBorders>
            <w:tcMar>
              <w:left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2029</w:t>
            </w:r>
          </w:p>
        </w:tc>
        <w:tc>
          <w:tcPr>
            <w:tcW w:w="2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19,750</w:t>
            </w:r>
          </w:p>
        </w:tc>
        <w:tc>
          <w:tcPr>
            <w:tcW w:w="28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3,950</w:t>
            </w:r>
          </w:p>
        </w:tc>
        <w:tc>
          <w:tcPr>
            <w:tcW w:w="10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6.40</w:t>
            </w:r>
          </w:p>
        </w:tc>
        <w:tc>
          <w:tcPr>
            <w:tcW w:w="343"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1154"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2030</w:t>
            </w:r>
          </w:p>
        </w:tc>
        <w:tc>
          <w:tcPr>
            <w:tcW w:w="425"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w:t>
            </w:r>
          </w:p>
        </w:tc>
        <w:tc>
          <w:tcPr>
            <w:tcW w:w="2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20,099</w:t>
            </w:r>
          </w:p>
        </w:tc>
        <w:tc>
          <w:tcPr>
            <w:tcW w:w="2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2,512</w:t>
            </w:r>
          </w:p>
        </w:tc>
        <w:tc>
          <w:tcPr>
            <w:tcW w:w="14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6.19</w:t>
            </w:r>
          </w:p>
        </w:tc>
        <w:tc>
          <w:tcPr>
            <w:tcW w:w="285"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left"/>
              <w:rPr/>
            </w:pPr>
            <w:r>
              <w:rPr/>
              <w:t>​</w:t>
            </w:r>
          </w:p>
        </w:tc>
        <w:tc>
          <w:tcPr>
            <w:tcW w:w="113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2030</w:t>
            </w:r>
          </w:p>
        </w:tc>
        <w:tc>
          <w:tcPr>
            <w:tcW w:w="2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13,471</w:t>
            </w:r>
          </w:p>
        </w:tc>
        <w:tc>
          <w:tcPr>
            <w:tcW w:w="28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1,924</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6.32</w:t>
            </w:r>
          </w:p>
        </w:tc>
        <w:tc>
          <w:tcPr>
            <w:tcW w:w="343"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1154" w:type="dxa"/>
            <w:tcBorders>
              <w:left w:val="single" w:sz="2" w:space="0" w:color="000000"/>
            </w:tcBorders>
            <w:tcMar>
              <w:left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2031+</w:t>
            </w:r>
          </w:p>
        </w:tc>
        <w:tc>
          <w:tcPr>
            <w:tcW w:w="425" w:type="dxa"/>
            <w:tcBorders/>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w:t>
            </w:r>
          </w:p>
        </w:tc>
        <w:tc>
          <w:tcPr>
            <w:tcW w:w="2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48,314</w:t>
            </w:r>
          </w:p>
        </w:tc>
        <w:tc>
          <w:tcPr>
            <w:tcW w:w="2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2,543</w:t>
            </w:r>
          </w:p>
        </w:tc>
        <w:tc>
          <w:tcPr>
            <w:tcW w:w="146" w:type="dxa"/>
            <w:tcBorders/>
            <w:vAlign w:val="center"/>
          </w:tcPr>
          <w:p>
            <w:pPr>
              <w:pStyle w:val="TableContents"/>
              <w:bidi w:val="0"/>
              <w:spacing w:before="0" w:after="0"/>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5.83</w:t>
            </w:r>
          </w:p>
        </w:tc>
        <w:tc>
          <w:tcPr>
            <w:tcW w:w="285"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1139" w:type="dxa"/>
            <w:tcBorders>
              <w:left w:val="single" w:sz="2" w:space="0" w:color="000000"/>
            </w:tcBorders>
            <w:tcMar>
              <w:left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2031+</w:t>
            </w:r>
          </w:p>
        </w:tc>
        <w:tc>
          <w:tcPr>
            <w:tcW w:w="226" w:type="dxa"/>
            <w:tcBorders/>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15,473</w:t>
            </w:r>
          </w:p>
        </w:tc>
        <w:tc>
          <w:tcPr>
            <w:tcW w:w="28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1,547</w:t>
            </w:r>
          </w:p>
        </w:tc>
        <w:tc>
          <w:tcPr>
            <w:tcW w:w="109" w:type="dxa"/>
            <w:tcBorders/>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6.16</w:t>
            </w:r>
          </w:p>
        </w:tc>
        <w:tc>
          <w:tcPr>
            <w:tcW w:w="343"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115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Fixed Rate</w:t>
            </w:r>
          </w:p>
        </w:tc>
        <w:tc>
          <w:tcPr>
            <w:tcW w:w="425"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141</w:t>
            </w:r>
          </w:p>
        </w:tc>
        <w:tc>
          <w:tcPr>
            <w:tcW w:w="2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355,761</w:t>
            </w:r>
          </w:p>
        </w:tc>
        <w:tc>
          <w:tcPr>
            <w:tcW w:w="2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2,523</w:t>
            </w:r>
          </w:p>
        </w:tc>
        <w:tc>
          <w:tcPr>
            <w:tcW w:w="14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4.70</w:t>
            </w:r>
          </w:p>
        </w:tc>
        <w:tc>
          <w:tcPr>
            <w:tcW w:w="285"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4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left"/>
              <w:rPr/>
            </w:pPr>
            <w:r>
              <w:rPr/>
              <w:t>​</w:t>
            </w:r>
          </w:p>
        </w:tc>
        <w:tc>
          <w:tcPr>
            <w:tcW w:w="113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Fixed Rate</w:t>
            </w:r>
          </w:p>
        </w:tc>
        <w:tc>
          <w:tcPr>
            <w:tcW w:w="2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95</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209,564</w:t>
            </w:r>
          </w:p>
        </w:tc>
        <w:tc>
          <w:tcPr>
            <w:tcW w:w="28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2,206</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4.82</w:t>
            </w:r>
          </w:p>
        </w:tc>
        <w:tc>
          <w:tcPr>
            <w:tcW w:w="343"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r>
      <w:tr>
        <w:trPr/>
        <w:tc>
          <w:tcPr>
            <w:tcW w:w="1154"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Floating Rate</w:t>
            </w:r>
          </w:p>
        </w:tc>
        <w:tc>
          <w:tcPr>
            <w:tcW w:w="425" w:type="dxa"/>
            <w:tcBorders/>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w:t>
            </w:r>
          </w:p>
        </w:tc>
        <w:tc>
          <w:tcPr>
            <w:tcW w:w="2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101</w:t>
            </w:r>
          </w:p>
        </w:tc>
        <w:tc>
          <w:tcPr>
            <w:tcW w:w="2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101</w:t>
            </w:r>
          </w:p>
        </w:tc>
        <w:tc>
          <w:tcPr>
            <w:tcW w:w="146" w:type="dxa"/>
            <w:tcBorders/>
            <w:vAlign w:val="center"/>
          </w:tcPr>
          <w:p>
            <w:pPr>
              <w:pStyle w:val="TableContents"/>
              <w:bidi w:val="0"/>
              <w:spacing w:before="0" w:after="0"/>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9.50</w:t>
            </w:r>
          </w:p>
        </w:tc>
        <w:tc>
          <w:tcPr>
            <w:tcW w:w="285"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4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1139"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Floating Rate</w:t>
            </w:r>
          </w:p>
        </w:tc>
        <w:tc>
          <w:tcPr>
            <w:tcW w:w="226" w:type="dxa"/>
            <w:tcBorders/>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453</w:t>
            </w:r>
          </w:p>
        </w:tc>
        <w:tc>
          <w:tcPr>
            <w:tcW w:w="28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453</w:t>
            </w:r>
          </w:p>
        </w:tc>
        <w:tc>
          <w:tcPr>
            <w:tcW w:w="109" w:type="dxa"/>
            <w:tcBorders/>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7.92</w:t>
            </w:r>
          </w:p>
        </w:tc>
        <w:tc>
          <w:tcPr>
            <w:tcW w:w="343"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r>
      <w:tr>
        <w:trPr/>
        <w:tc>
          <w:tcPr>
            <w:tcW w:w="1154"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w:t>
            </w:r>
          </w:p>
        </w:tc>
        <w:tc>
          <w:tcPr>
            <w:tcW w:w="4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142</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355,862</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2,506</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4.71</w:t>
            </w:r>
          </w:p>
        </w:tc>
        <w:tc>
          <w:tcPr>
            <w:tcW w:w="285"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4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left"/>
              <w:rPr/>
            </w:pPr>
            <w:r>
              <w:rPr/>
              <w:t>​</w:t>
            </w:r>
          </w:p>
        </w:tc>
        <w:tc>
          <w:tcPr>
            <w:tcW w:w="1139"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96</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210,017</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2,188</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5.66</w:t>
            </w:r>
          </w:p>
        </w:tc>
        <w:tc>
          <w:tcPr>
            <w:tcW w:w="343"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150"/>
        <w:gridCol w:w="453"/>
        <w:gridCol w:w="751"/>
        <w:gridCol w:w="226"/>
        <w:gridCol w:w="421"/>
        <w:gridCol w:w="1561"/>
        <w:gridCol w:w="226"/>
        <w:gridCol w:w="504"/>
        <w:gridCol w:w="1363"/>
        <w:gridCol w:w="146"/>
        <w:gridCol w:w="804"/>
        <w:gridCol w:w="600"/>
      </w:tblGrid>
      <w:tr>
        <w:trPr/>
        <w:tc>
          <w:tcPr>
            <w:tcW w:w="3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00250" cy="175260"/>
                      <wp:effectExtent l="0" t="0" r="0" b="0"/>
                      <wp:wrapNone/>
                      <wp:docPr id="28" name="Frame27"/>
                      <a:graphic xmlns:a="http://schemas.openxmlformats.org/drawingml/2006/main">
                        <a:graphicData uri="http://schemas.microsoft.com/office/word/2010/wordprocessingShape">
                          <wps:wsp>
                            <wps:cNvSpPr txBox="1"/>
                            <wps:spPr>
                              <a:xfrm>
                                <a:off x="0" y="0"/>
                                <a:ext cx="2000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87655" cy="175260"/>
                      <wp:effectExtent l="0" t="0" r="0" b="0"/>
                      <wp:wrapNone/>
                      <wp:docPr id="29" name="Frame28"/>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76885" cy="175260"/>
                      <wp:effectExtent l="0" t="0" r="0" b="0"/>
                      <wp:wrapNone/>
                      <wp:docPr id="30" name="Frame2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3510" cy="175260"/>
                      <wp:effectExtent l="0" t="0" r="0" b="0"/>
                      <wp:wrapNone/>
                      <wp:docPr id="31" name="Frame3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67335" cy="175260"/>
                      <wp:effectExtent l="0" t="0" r="0" b="0"/>
                      <wp:wrapNone/>
                      <wp:docPr id="32" name="Frame3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991235" cy="175260"/>
                      <wp:effectExtent l="0" t="0" r="0" b="0"/>
                      <wp:wrapNone/>
                      <wp:docPr id="33" name="Frame32"/>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3510" cy="175260"/>
                      <wp:effectExtent l="0" t="0" r="0" b="0"/>
                      <wp:wrapNone/>
                      <wp:docPr id="34" name="Frame3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20040" cy="175260"/>
                      <wp:effectExtent l="0" t="0" r="0" b="0"/>
                      <wp:wrapNone/>
                      <wp:docPr id="35" name="Frame34"/>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865505" cy="175260"/>
                      <wp:effectExtent l="0" t="0" r="0" b="0"/>
                      <wp:wrapNone/>
                      <wp:docPr id="36" name="Frame35"/>
                      <a:graphic xmlns:a="http://schemas.openxmlformats.org/drawingml/2006/main">
                        <a:graphicData uri="http://schemas.microsoft.com/office/word/2010/wordprocessingShape">
                          <wps:wsp>
                            <wps:cNvSpPr txBox="1"/>
                            <wps:spPr>
                              <a:xfrm>
                                <a:off x="0" y="0"/>
                                <a:ext cx="865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92710" cy="175260"/>
                      <wp:effectExtent l="0" t="0" r="0" b="0"/>
                      <wp:wrapNone/>
                      <wp:docPr id="37" name="Frame3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10540" cy="175260"/>
                      <wp:effectExtent l="0" t="0" r="0" b="0"/>
                      <wp:wrapNone/>
                      <wp:docPr id="38" name="Frame37"/>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81000" cy="175260"/>
                      <wp:effectExtent l="0" t="0" r="0" b="0"/>
                      <wp:wrapNone/>
                      <wp:docPr id="39" name="Frame38"/>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CRE Investor Portfolio Fixed Rate Reset/Maturity Schedule</w:t>
            </w:r>
          </w:p>
        </w:tc>
      </w:tr>
      <w:tr>
        <w:trPr/>
        <w:tc>
          <w:tcPr>
            <w:tcW w:w="3150"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Calendar Period (Loan Data as of 6/30/2026)</w:t>
            </w:r>
          </w:p>
        </w:tc>
        <w:tc>
          <w:tcPr>
            <w:tcW w:w="453"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Loans</w:t>
            </w:r>
          </w:p>
        </w:tc>
        <w:tc>
          <w:tcPr>
            <w:tcW w:w="226" w:type="dxa"/>
            <w:tcBorders/>
            <w:vAlign w:val="center"/>
          </w:tcPr>
          <w:p>
            <w:pPr>
              <w:pStyle w:val="TableContents"/>
              <w:bidi w:val="0"/>
              <w:spacing w:before="0" w:after="0"/>
              <w:ind w:left="0" w:right="0" w:hanging="0"/>
              <w:jc w:val="left"/>
              <w:rPr/>
            </w:pPr>
            <w:r>
              <w:rPr/>
              <w:t>  ​</w:t>
            </w:r>
          </w:p>
        </w:tc>
        <w:tc>
          <w:tcPr>
            <w:tcW w:w="1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 O/S ($000's omitted)</w:t>
            </w:r>
          </w:p>
        </w:tc>
        <w:tc>
          <w:tcPr>
            <w:tcW w:w="226" w:type="dxa"/>
            <w:tcBorders/>
            <w:vAlign w:val="center"/>
          </w:tcPr>
          <w:p>
            <w:pPr>
              <w:pStyle w:val="TableContents"/>
              <w:bidi w:val="0"/>
              <w:spacing w:before="0" w:after="0"/>
              <w:ind w:left="0" w:right="0" w:hanging="0"/>
              <w:jc w:val="left"/>
              <w:rPr/>
            </w:pPr>
            <w:r>
              <w:rPr/>
              <w:t>  ​</w:t>
            </w:r>
          </w:p>
        </w:tc>
        <w:tc>
          <w:tcPr>
            <w:tcW w:w="18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Avg O/S ($000's omitted)</w:t>
            </w:r>
          </w:p>
        </w:tc>
        <w:tc>
          <w:tcPr>
            <w:tcW w:w="146" w:type="dxa"/>
            <w:tcBorders/>
            <w:vAlign w:val="center"/>
          </w:tcPr>
          <w:p>
            <w:pPr>
              <w:pStyle w:val="TableContents"/>
              <w:bidi w:val="0"/>
              <w:spacing w:before="0" w:after="0"/>
              <w:ind w:left="0" w:right="0" w:hanging="0"/>
              <w:jc w:val="left"/>
              <w:rPr/>
            </w:pPr>
            <w:r>
              <w:rPr/>
              <w:t>​</w:t>
            </w:r>
          </w:p>
        </w:tc>
        <w:tc>
          <w:tcPr>
            <w:tcW w:w="1404"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Avg Interest Rate</w:t>
            </w:r>
          </w:p>
        </w:tc>
      </w:tr>
      <w:tr>
        <w:trPr/>
        <w:tc>
          <w:tcPr>
            <w:tcW w:w="3150"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left"/>
              <w:rPr/>
            </w:pPr>
            <w:r>
              <w:rPr/>
              <w:t>​</w:t>
            </w:r>
          </w:p>
        </w:tc>
        <w:tc>
          <w:tcPr>
            <w:tcW w:w="136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left"/>
              <w:rPr/>
            </w:pPr>
            <w:r>
              <w:rPr/>
              <w:t>  ​</w:t>
            </w:r>
          </w:p>
        </w:tc>
        <w:tc>
          <w:tcPr>
            <w:tcW w:w="600"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3150"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2026</w:t>
            </w:r>
          </w:p>
        </w:tc>
        <w:tc>
          <w:tcPr>
            <w:tcW w:w="453"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2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31,740</w:t>
            </w:r>
          </w:p>
        </w:tc>
        <w:tc>
          <w:tcPr>
            <w:tcW w:w="226" w:type="dxa"/>
            <w:tcBorders/>
            <w:shd w:fill="CCEEFF" w:val="clear"/>
            <w:vAlign w:val="center"/>
          </w:tcPr>
          <w:p>
            <w:pPr>
              <w:pStyle w:val="TableContents"/>
              <w:bidi w:val="0"/>
              <w:spacing w:before="0" w:after="0"/>
              <w:ind w:left="0" w:right="0" w:hanging="0"/>
              <w:jc w:val="left"/>
              <w:rPr/>
            </w:pPr>
            <w:r>
              <w:rPr/>
              <w:t>​</w:t>
            </w:r>
          </w:p>
        </w:tc>
        <w:tc>
          <w:tcPr>
            <w:tcW w:w="5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w:t>
            </w:r>
          </w:p>
        </w:tc>
        <w:tc>
          <w:tcPr>
            <w:tcW w:w="14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c>
          <w:tcPr>
            <w:tcW w:w="600"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0" w:type="dxa"/>
            <w:tcBorders>
              <w:left w:val="single" w:sz="2" w:space="0" w:color="000000"/>
            </w:tcBorders>
            <w:tcMar>
              <w:lef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w:t>
            </w:r>
          </w:p>
        </w:tc>
        <w:tc>
          <w:tcPr>
            <w:tcW w:w="453"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2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126,645</w:t>
            </w:r>
          </w:p>
        </w:tc>
        <w:tc>
          <w:tcPr>
            <w:tcW w:w="226"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left"/>
              <w:rPr/>
            </w:pPr>
            <w:r>
              <w:rPr/>
              <w:t>​</w:t>
            </w:r>
          </w:p>
        </w:tc>
        <w:tc>
          <w:tcPr>
            <w:tcW w:w="13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w:t>
            </w:r>
          </w:p>
        </w:tc>
        <w:tc>
          <w:tcPr>
            <w:tcW w:w="14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600"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0"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w:t>
            </w:r>
          </w:p>
        </w:tc>
        <w:tc>
          <w:tcPr>
            <w:tcW w:w="453"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2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30,106</w:t>
            </w:r>
          </w:p>
        </w:tc>
        <w:tc>
          <w:tcPr>
            <w:tcW w:w="226" w:type="dxa"/>
            <w:tcBorders/>
            <w:shd w:fill="CCEEFF" w:val="clear"/>
            <w:vAlign w:val="center"/>
          </w:tcPr>
          <w:p>
            <w:pPr>
              <w:pStyle w:val="TableContents"/>
              <w:bidi w:val="0"/>
              <w:spacing w:before="0" w:after="0"/>
              <w:ind w:left="0" w:right="0" w:hanging="0"/>
              <w:jc w:val="left"/>
              <w:rPr/>
            </w:pPr>
            <w:r>
              <w:rPr/>
              <w:t>​</w:t>
            </w:r>
          </w:p>
        </w:tc>
        <w:tc>
          <w:tcPr>
            <w:tcW w:w="504" w:type="dxa"/>
            <w:tcBorders/>
            <w:shd w:fill="CCEEFF" w:val="clear"/>
            <w:vAlign w:val="center"/>
          </w:tcPr>
          <w:p>
            <w:pPr>
              <w:pStyle w:val="TableContents"/>
              <w:bidi w:val="0"/>
              <w:spacing w:before="0" w:after="0"/>
              <w:ind w:left="0" w:right="0" w:hanging="0"/>
              <w:jc w:val="left"/>
              <w:rPr/>
            </w:pPr>
            <w:r>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w:t>
            </w:r>
          </w:p>
        </w:tc>
        <w:tc>
          <w:tcPr>
            <w:tcW w:w="14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c>
          <w:tcPr>
            <w:tcW w:w="600"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0" w:type="dxa"/>
            <w:tcBorders>
              <w:left w:val="single" w:sz="2" w:space="0" w:color="000000"/>
            </w:tcBorders>
            <w:tcMar>
              <w:lef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w:t>
            </w:r>
          </w:p>
        </w:tc>
        <w:tc>
          <w:tcPr>
            <w:tcW w:w="453"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8,160</w:t>
            </w:r>
          </w:p>
        </w:tc>
        <w:tc>
          <w:tcPr>
            <w:tcW w:w="226"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left"/>
              <w:rPr/>
            </w:pPr>
            <w:r>
              <w:rPr/>
              <w:t>​</w:t>
            </w:r>
          </w:p>
        </w:tc>
        <w:tc>
          <w:tcPr>
            <w:tcW w:w="13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w:t>
            </w:r>
          </w:p>
        </w:tc>
        <w:tc>
          <w:tcPr>
            <w:tcW w:w="14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600"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0"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2030</w:t>
            </w:r>
          </w:p>
        </w:tc>
        <w:tc>
          <w:tcPr>
            <w:tcW w:w="453"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13,353</w:t>
            </w:r>
          </w:p>
        </w:tc>
        <w:tc>
          <w:tcPr>
            <w:tcW w:w="226" w:type="dxa"/>
            <w:tcBorders/>
            <w:shd w:fill="CCEEFF" w:val="clear"/>
            <w:vAlign w:val="center"/>
          </w:tcPr>
          <w:p>
            <w:pPr>
              <w:pStyle w:val="TableContents"/>
              <w:bidi w:val="0"/>
              <w:spacing w:before="0" w:after="0"/>
              <w:ind w:left="0" w:right="0" w:hanging="0"/>
              <w:jc w:val="left"/>
              <w:rPr/>
            </w:pPr>
            <w:r>
              <w:rPr/>
              <w:t>​</w:t>
            </w:r>
          </w:p>
        </w:tc>
        <w:tc>
          <w:tcPr>
            <w:tcW w:w="504" w:type="dxa"/>
            <w:tcBorders/>
            <w:shd w:fill="CCEEFF" w:val="clear"/>
            <w:vAlign w:val="center"/>
          </w:tcPr>
          <w:p>
            <w:pPr>
              <w:pStyle w:val="TableContents"/>
              <w:bidi w:val="0"/>
              <w:spacing w:before="0" w:after="0"/>
              <w:ind w:left="0" w:right="0" w:hanging="0"/>
              <w:jc w:val="left"/>
              <w:rPr/>
            </w:pPr>
            <w:r>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w:t>
            </w:r>
          </w:p>
        </w:tc>
        <w:tc>
          <w:tcPr>
            <w:tcW w:w="14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600"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0" w:type="dxa"/>
            <w:tcBorders>
              <w:left w:val="single" w:sz="2" w:space="0" w:color="000000"/>
            </w:tcBorders>
            <w:tcMar>
              <w:lef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w:t>
            </w:r>
          </w:p>
        </w:tc>
        <w:tc>
          <w:tcPr>
            <w:tcW w:w="453"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30,891</w:t>
            </w:r>
          </w:p>
        </w:tc>
        <w:tc>
          <w:tcPr>
            <w:tcW w:w="226" w:type="dxa"/>
            <w:tcBorders/>
            <w:vAlign w:val="center"/>
          </w:tcPr>
          <w:p>
            <w:pPr>
              <w:pStyle w:val="TableContents"/>
              <w:bidi w:val="0"/>
              <w:spacing w:before="0" w:after="0"/>
              <w:ind w:left="0" w:right="0" w:hanging="0"/>
              <w:jc w:val="left"/>
              <w:rPr/>
            </w:pPr>
            <w:r>
              <w:rPr/>
              <w:t>​</w:t>
            </w:r>
          </w:p>
        </w:tc>
        <w:tc>
          <w:tcPr>
            <w:tcW w:w="5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c>
          <w:tcPr>
            <w:tcW w:w="146" w:type="dxa"/>
            <w:tcBorders/>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600"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0"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Fixed Rate</w:t>
            </w:r>
          </w:p>
        </w:tc>
        <w:tc>
          <w:tcPr>
            <w:tcW w:w="453"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w:t>
            </w:r>
          </w:p>
        </w:tc>
        <w:tc>
          <w:tcPr>
            <w:tcW w:w="2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240,895</w:t>
            </w:r>
          </w:p>
        </w:tc>
        <w:tc>
          <w:tcPr>
            <w:tcW w:w="226" w:type="dxa"/>
            <w:tcBorders/>
            <w:shd w:fill="CCEEFF" w:val="clear"/>
            <w:vAlign w:val="center"/>
          </w:tcPr>
          <w:p>
            <w:pPr>
              <w:pStyle w:val="TableContents"/>
              <w:bidi w:val="0"/>
              <w:spacing w:before="0" w:after="0"/>
              <w:ind w:left="0" w:right="0" w:hanging="0"/>
              <w:jc w:val="left"/>
              <w:rPr/>
            </w:pPr>
            <w:r>
              <w:rPr/>
              <w:t>​</w:t>
            </w:r>
          </w:p>
        </w:tc>
        <w:tc>
          <w:tcPr>
            <w:tcW w:w="504" w:type="dxa"/>
            <w:tcBorders/>
            <w:shd w:fill="CCEEFF" w:val="clear"/>
            <w:vAlign w:val="center"/>
          </w:tcPr>
          <w:p>
            <w:pPr>
              <w:pStyle w:val="TableContents"/>
              <w:bidi w:val="0"/>
              <w:spacing w:before="0" w:after="0"/>
              <w:ind w:left="0" w:right="0" w:hanging="0"/>
              <w:jc w:val="left"/>
              <w:rPr/>
            </w:pPr>
            <w:r>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1,417</w:t>
            </w:r>
          </w:p>
        </w:tc>
        <w:tc>
          <w:tcPr>
            <w:tcW w:w="14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5.58</w:t>
            </w:r>
          </w:p>
        </w:tc>
        <w:tc>
          <w:tcPr>
            <w:tcW w:w="600"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150"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Floating Rate</w:t>
            </w:r>
          </w:p>
        </w:tc>
        <w:tc>
          <w:tcPr>
            <w:tcW w:w="453"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c>
          <w:tcPr>
            <w:tcW w:w="2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7,677</w:t>
            </w:r>
          </w:p>
        </w:tc>
        <w:tc>
          <w:tcPr>
            <w:tcW w:w="226" w:type="dxa"/>
            <w:tcBorders/>
            <w:vAlign w:val="center"/>
          </w:tcPr>
          <w:p>
            <w:pPr>
              <w:pStyle w:val="TableContents"/>
              <w:bidi w:val="0"/>
              <w:spacing w:before="0" w:after="0"/>
              <w:ind w:left="0" w:right="0" w:hanging="0"/>
              <w:jc w:val="left"/>
              <w:rPr/>
            </w:pPr>
            <w:r>
              <w:rPr/>
              <w:t>​</w:t>
            </w:r>
          </w:p>
        </w:tc>
        <w:tc>
          <w:tcPr>
            <w:tcW w:w="5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768</w:t>
            </w:r>
          </w:p>
        </w:tc>
        <w:tc>
          <w:tcPr>
            <w:tcW w:w="146" w:type="dxa"/>
            <w:tcBorders/>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7.92</w:t>
            </w:r>
          </w:p>
        </w:tc>
        <w:tc>
          <w:tcPr>
            <w:tcW w:w="600"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150"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CRE-Inv.</w:t>
            </w:r>
          </w:p>
        </w:tc>
        <w:tc>
          <w:tcPr>
            <w:tcW w:w="4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248,572</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1,381</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5.66</w:t>
            </w:r>
          </w:p>
        </w:tc>
        <w:tc>
          <w:tcPr>
            <w:tcW w:w="600"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Stabilized Multifamily Pro Forma Stress Results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table below reflects a pro forma stressed evaluation of the Bank’s Multifamily stabilized loan portfolio as of June 30, 2026, using the primary assumption for a revised Debt Service Coverage Ratio (“DSCR”) calculation, for all loans where the current interest rate is below 6.00%.  The current balance for these loans is recast at 6.00% with a 30-year amortization.  The chart below reflects the impact of these adjustments on the portfolio.  The projected loan to value (“LTV”) assumption resets all loans using a 6.25% cap rate and the last reported property net operating income (“NOI”) to determine an implied property valuation and based on the current loan balance, the resultant LTV.</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985"/>
        <w:gridCol w:w="445"/>
        <w:gridCol w:w="721"/>
        <w:gridCol w:w="226"/>
        <w:gridCol w:w="367"/>
        <w:gridCol w:w="1361"/>
        <w:gridCol w:w="226"/>
        <w:gridCol w:w="790"/>
        <w:gridCol w:w="753"/>
        <w:gridCol w:w="109"/>
        <w:gridCol w:w="1023"/>
        <w:gridCol w:w="979"/>
        <w:gridCol w:w="109"/>
        <w:gridCol w:w="1155"/>
        <w:gridCol w:w="956"/>
      </w:tblGrid>
      <w:tr>
        <w:trPr/>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25475" cy="175260"/>
                      <wp:effectExtent l="0" t="0" r="0" b="0"/>
                      <wp:wrapNone/>
                      <wp:docPr id="40" name="Frame39"/>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82575" cy="175260"/>
                      <wp:effectExtent l="0" t="0" r="0" b="0"/>
                      <wp:wrapNone/>
                      <wp:docPr id="41" name="Frame40"/>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57835" cy="175260"/>
                      <wp:effectExtent l="0" t="0" r="0" b="0"/>
                      <wp:wrapNone/>
                      <wp:docPr id="42" name="Frame4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3510" cy="175260"/>
                      <wp:effectExtent l="0" t="0" r="0" b="0"/>
                      <wp:wrapNone/>
                      <wp:docPr id="43" name="Frame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33045" cy="175260"/>
                      <wp:effectExtent l="0" t="0" r="0" b="0"/>
                      <wp:wrapNone/>
                      <wp:docPr id="44" name="Frame43"/>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864235" cy="175260"/>
                      <wp:effectExtent l="0" t="0" r="0" b="0"/>
                      <wp:wrapNone/>
                      <wp:docPr id="45" name="Frame44"/>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3510" cy="175260"/>
                      <wp:effectExtent l="0" t="0" r="0" b="0"/>
                      <wp:wrapNone/>
                      <wp:docPr id="46" name="Frame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01650" cy="175260"/>
                      <wp:effectExtent l="0" t="0" r="0" b="0"/>
                      <wp:wrapNone/>
                      <wp:docPr id="47" name="Frame46"/>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78155" cy="175260"/>
                      <wp:effectExtent l="0" t="0" r="0" b="0"/>
                      <wp:wrapNone/>
                      <wp:docPr id="48" name="Frame47"/>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9605" cy="175260"/>
                      <wp:effectExtent l="0" t="0" r="0" b="0"/>
                      <wp:wrapNone/>
                      <wp:docPr id="50" name="Frame49"/>
                      <a:graphic xmlns:a="http://schemas.openxmlformats.org/drawingml/2006/main">
                        <a:graphicData uri="http://schemas.microsoft.com/office/word/2010/wordprocessingShape">
                          <wps:wsp>
                            <wps:cNvSpPr txBox="1"/>
                            <wps:spPr>
                              <a:xfrm>
                                <a:off x="0" y="0"/>
                                <a:ext cx="649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21665" cy="175260"/>
                      <wp:effectExtent l="0" t="0" r="0" b="0"/>
                      <wp:wrapNone/>
                      <wp:docPr id="51" name="Frame50"/>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33425" cy="175260"/>
                      <wp:effectExtent l="0" t="0" r="0" b="0"/>
                      <wp:wrapNone/>
                      <wp:docPr id="53" name="Frame52"/>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07060" cy="175260"/>
                      <wp:effectExtent l="0" t="0" r="0" b="0"/>
                      <wp:wrapNone/>
                      <wp:docPr id="54" name="Frame53"/>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Multifamily Stabilized Rent Portfolio (Loan Data as of 6/30/2026)</w:t>
            </w:r>
          </w:p>
        </w:tc>
      </w:tr>
      <w:tr>
        <w:trPr/>
        <w:tc>
          <w:tcPr>
            <w:tcW w:w="985"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DSCR Range</w:t>
            </w:r>
          </w:p>
        </w:tc>
        <w:tc>
          <w:tcPr>
            <w:tcW w:w="445"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Loans</w:t>
            </w:r>
          </w:p>
        </w:tc>
        <w:tc>
          <w:tcPr>
            <w:tcW w:w="226" w:type="dxa"/>
            <w:tcBorders/>
            <w:vAlign w:val="center"/>
          </w:tcPr>
          <w:p>
            <w:pPr>
              <w:pStyle w:val="TableContents"/>
              <w:bidi w:val="0"/>
              <w:spacing w:before="0" w:after="0"/>
              <w:ind w:left="0" w:right="0" w:hanging="0"/>
              <w:jc w:val="left"/>
              <w:rPr/>
            </w:pPr>
            <w:r>
              <w:rPr/>
              <w:t>  ​</w:t>
            </w:r>
          </w:p>
        </w:tc>
        <w:tc>
          <w:tcPr>
            <w:tcW w:w="17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O/S ($000's omitted)</w:t>
            </w:r>
          </w:p>
        </w:tc>
        <w:tc>
          <w:tcPr>
            <w:tcW w:w="226" w:type="dxa"/>
            <w:tcBorders/>
            <w:vAlign w:val="center"/>
          </w:tcPr>
          <w:p>
            <w:pPr>
              <w:pStyle w:val="TableContents"/>
              <w:bidi w:val="0"/>
              <w:spacing w:before="0" w:after="0"/>
              <w:ind w:left="0" w:right="0" w:hanging="0"/>
              <w:jc w:val="left"/>
              <w:rPr/>
            </w:pPr>
            <w:r>
              <w:rPr/>
              <w:t>  ​</w:t>
            </w:r>
          </w:p>
        </w:tc>
        <w:tc>
          <w:tcPr>
            <w:tcW w:w="15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of Total MF Portfolio</w:t>
            </w:r>
          </w:p>
        </w:tc>
        <w:tc>
          <w:tcPr>
            <w:tcW w:w="109" w:type="dxa"/>
            <w:tcBorders/>
            <w:vAlign w:val="center"/>
          </w:tcPr>
          <w:p>
            <w:pPr>
              <w:pStyle w:val="TableContents"/>
              <w:bidi w:val="0"/>
              <w:spacing w:before="0" w:after="0"/>
              <w:ind w:left="0" w:right="0" w:hanging="0"/>
              <w:jc w:val="left"/>
              <w:rPr/>
            </w:pPr>
            <w:r>
              <w:rPr/>
              <w:t>​</w:t>
            </w:r>
          </w:p>
        </w:tc>
        <w:tc>
          <w:tcPr>
            <w:tcW w:w="2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Current Weighted Average LTV</w:t>
            </w:r>
          </w:p>
        </w:tc>
        <w:tc>
          <w:tcPr>
            <w:tcW w:w="109" w:type="dxa"/>
            <w:tcBorders/>
            <w:vAlign w:val="center"/>
          </w:tcPr>
          <w:p>
            <w:pPr>
              <w:pStyle w:val="TableContents"/>
              <w:bidi w:val="0"/>
              <w:spacing w:before="0" w:after="0"/>
              <w:ind w:left="0" w:right="0" w:hanging="0"/>
              <w:jc w:val="left"/>
              <w:rPr/>
            </w:pPr>
            <w:r>
              <w:rPr/>
              <w:t>​</w:t>
            </w:r>
          </w:p>
        </w:tc>
        <w:tc>
          <w:tcPr>
            <w:tcW w:w="211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Projected Weighted Average LTV</w:t>
            </w:r>
          </w:p>
        </w:tc>
      </w:tr>
      <w:tr>
        <w:trPr/>
        <w:tc>
          <w:tcPr>
            <w:tcW w:w="985"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left"/>
              <w:rPr/>
            </w:pPr>
            <w:r>
              <w:rPr/>
              <w:t>  ​</w:t>
            </w:r>
          </w:p>
        </w:tc>
        <w:tc>
          <w:tcPr>
            <w:tcW w:w="95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985" w:type="dxa"/>
            <w:tcBorders>
              <w:left w:val="single" w:sz="2" w:space="0" w:color="000000"/>
            </w:tcBorders>
            <w:shd w:fill="CCEEFF" w:val="clear"/>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&lt; 1.0</w:t>
            </w:r>
          </w:p>
        </w:tc>
        <w:tc>
          <w:tcPr>
            <w:tcW w:w="445"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16,207</w:t>
            </w:r>
          </w:p>
        </w:tc>
        <w:tc>
          <w:tcPr>
            <w:tcW w:w="226"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7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9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95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85" w:type="dxa"/>
            <w:tcBorders>
              <w:left w:val="single" w:sz="2"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 &lt; x &lt;1.2</w:t>
            </w:r>
          </w:p>
        </w:tc>
        <w:tc>
          <w:tcPr>
            <w:tcW w:w="44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33,833</w:t>
            </w:r>
          </w:p>
        </w:tc>
        <w:tc>
          <w:tcPr>
            <w:tcW w:w="22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9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956"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85" w:type="dxa"/>
            <w:tcBorders>
              <w:left w:val="single" w:sz="2" w:space="0" w:color="000000"/>
            </w:tcBorders>
            <w:shd w:fill="CCEEFF" w:val="clear"/>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&lt; x &lt;1.3</w:t>
            </w:r>
          </w:p>
        </w:tc>
        <w:tc>
          <w:tcPr>
            <w:tcW w:w="445"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48,544</w:t>
            </w:r>
          </w:p>
        </w:tc>
        <w:tc>
          <w:tcPr>
            <w:tcW w:w="226"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7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9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95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85" w:type="dxa"/>
            <w:tcBorders>
              <w:left w:val="single" w:sz="2"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 &lt; x &lt;1.5</w:t>
            </w:r>
          </w:p>
        </w:tc>
        <w:tc>
          <w:tcPr>
            <w:tcW w:w="44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2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70,004</w:t>
            </w:r>
          </w:p>
        </w:tc>
        <w:tc>
          <w:tcPr>
            <w:tcW w:w="22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9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956"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85" w:type="dxa"/>
            <w:tcBorders>
              <w:left w:val="single" w:sz="2" w:space="0" w:color="000000"/>
            </w:tcBorders>
            <w:shd w:fill="CCEEFF" w:val="clear"/>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 &lt; x &lt;2.0</w:t>
            </w:r>
          </w:p>
        </w:tc>
        <w:tc>
          <w:tcPr>
            <w:tcW w:w="445"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2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32,745</w:t>
            </w:r>
          </w:p>
        </w:tc>
        <w:tc>
          <w:tcPr>
            <w:tcW w:w="226"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7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9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95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85" w:type="dxa"/>
            <w:tcBorders>
              <w:left w:val="single" w:sz="2"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 &gt; 2.0</w:t>
            </w:r>
          </w:p>
        </w:tc>
        <w:tc>
          <w:tcPr>
            <w:tcW w:w="445"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8,684</w:t>
            </w:r>
          </w:p>
        </w:tc>
        <w:tc>
          <w:tcPr>
            <w:tcW w:w="226" w:type="dxa"/>
            <w:tcBorders/>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0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9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956"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85"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4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210,017</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w:t>
            </w:r>
          </w:p>
        </w:tc>
        <w:tc>
          <w:tcPr>
            <w:tcW w:w="956"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reflected above, only 5 loans totaling $16 million in the multifamily rent stabilized portfolio would have a pro forma DSCR less than 1x, this represents 3% of the total multifamily portfolio.  The remainder of this portfolio, totaling $194 million, representing 34% of the entire multifamily portfolio, would possess DSCR’s greater than 1x while maintaining a projected weighted average LTV well within our policy guidelines.  Additionally, 73% of the rent stabilized loans and 74% of the entire multifamily portfolio are further secured with personal guarantees from the borrowers.  Based on the maturities and rate resets in the previous 12 months, we believe the overall demand for multifamily housing in our market will allow our borrowers to address any adverse impact proactively.  The Bank continues to successfully manage multifamily loans with scheduled rate repricing or maturities.  Matured loans that qualified for renewal have been retained while others have paid off in full through refinances.  The majority of the rate resetting loans remain as performing loans at the new higher interest rate.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Rental breakdown of Multifamily portfolio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table below segments our portfolio of loans secured by Multifamily properties based on rental terms and location as of June 30, 2026.  As shown below, 63% of the combined portfolio is secured by properties subject to free market rental terms, which is the dominant tenant type.  Both the Market Rent and Stabilized Rent segments of our portfolio present very similar average borrower profiles.  The portfolio is primarily located in the New York City boroughs of Brooklyn, the Bronx and Queens.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088"/>
        <w:gridCol w:w="431"/>
        <w:gridCol w:w="721"/>
        <w:gridCol w:w="226"/>
        <w:gridCol w:w="351"/>
        <w:gridCol w:w="1306"/>
        <w:gridCol w:w="226"/>
        <w:gridCol w:w="782"/>
        <w:gridCol w:w="746"/>
        <w:gridCol w:w="109"/>
        <w:gridCol w:w="283"/>
        <w:gridCol w:w="768"/>
        <w:gridCol w:w="146"/>
        <w:gridCol w:w="466"/>
        <w:gridCol w:w="301"/>
        <w:gridCol w:w="226"/>
        <w:gridCol w:w="1014"/>
        <w:gridCol w:w="109"/>
        <w:gridCol w:w="906"/>
      </w:tblGrid>
      <w:tr>
        <w:trPr/>
        <w:tc>
          <w:tcPr>
            <w:tcW w:w="1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0880" cy="175260"/>
                      <wp:effectExtent l="0" t="0" r="0" b="0"/>
                      <wp:wrapNone/>
                      <wp:docPr id="55" name="Frame54"/>
                      <a:graphic xmlns:a="http://schemas.openxmlformats.org/drawingml/2006/main">
                        <a:graphicData uri="http://schemas.microsoft.com/office/word/2010/wordprocessingShape">
                          <wps:wsp>
                            <wps:cNvSpPr txBox="1"/>
                            <wps:spPr>
                              <a:xfrm>
                                <a:off x="0" y="0"/>
                                <a:ext cx="690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73685" cy="175260"/>
                      <wp:effectExtent l="0" t="0" r="0" b="0"/>
                      <wp:wrapNone/>
                      <wp:docPr id="56" name="Frame55"/>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57835" cy="175260"/>
                      <wp:effectExtent l="0" t="0" r="0" b="0"/>
                      <wp:wrapNone/>
                      <wp:docPr id="57" name="Frame5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3510" cy="175260"/>
                      <wp:effectExtent l="0" t="0" r="0" b="0"/>
                      <wp:wrapNone/>
                      <wp:docPr id="58" name="Frame5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22885" cy="175260"/>
                      <wp:effectExtent l="0" t="0" r="0" b="0"/>
                      <wp:wrapNone/>
                      <wp:docPr id="59" name="Frame58"/>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829310" cy="175260"/>
                      <wp:effectExtent l="0" t="0" r="0" b="0"/>
                      <wp:wrapNone/>
                      <wp:docPr id="60" name="Frame59"/>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3510" cy="175260"/>
                      <wp:effectExtent l="0" t="0" r="0" b="0"/>
                      <wp:wrapNone/>
                      <wp:docPr id="61" name="Frame6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96570" cy="175260"/>
                      <wp:effectExtent l="0" t="0" r="0" b="0"/>
                      <wp:wrapNone/>
                      <wp:docPr id="62" name="Frame61"/>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73710" cy="175260"/>
                      <wp:effectExtent l="0" t="0" r="0" b="0"/>
                      <wp:wrapNone/>
                      <wp:docPr id="63" name="Frame62"/>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79705" cy="175260"/>
                      <wp:effectExtent l="0" t="0" r="0" b="0"/>
                      <wp:wrapNone/>
                      <wp:docPr id="65" name="Frame64"/>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87680" cy="175260"/>
                      <wp:effectExtent l="0" t="0" r="0" b="0"/>
                      <wp:wrapNone/>
                      <wp:docPr id="66" name="Frame65"/>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92710" cy="175260"/>
                      <wp:effectExtent l="0" t="0" r="0" b="0"/>
                      <wp:wrapNone/>
                      <wp:docPr id="67" name="Frame6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95910" cy="175260"/>
                      <wp:effectExtent l="0" t="0" r="0" b="0"/>
                      <wp:wrapNone/>
                      <wp:docPr id="68" name="Frame6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91135" cy="175260"/>
                      <wp:effectExtent l="0" t="0" r="0" b="0"/>
                      <wp:wrapNone/>
                      <wp:docPr id="69" name="Frame6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43510" cy="175260"/>
                      <wp:effectExtent l="0" t="0" r="0" b="0"/>
                      <wp:wrapNone/>
                      <wp:docPr id="70" name="Frame6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3890" cy="175260"/>
                      <wp:effectExtent l="0" t="0" r="0" b="0"/>
                      <wp:wrapNone/>
                      <wp:docPr id="71" name="Frame70"/>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75310" cy="175260"/>
                      <wp:effectExtent l="0" t="0" r="0" b="0"/>
                      <wp:wrapNone/>
                      <wp:docPr id="73" name="Frame72"/>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9"/>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Multifamily Loan Portfolio - Loans by Rent Type (Loan Data as of 6/30/2026)</w:t>
            </w:r>
          </w:p>
        </w:tc>
      </w:tr>
      <w:tr>
        <w:trPr/>
        <w:tc>
          <w:tcPr>
            <w:tcW w:w="1088"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Rent Type</w:t>
            </w:r>
          </w:p>
        </w:tc>
        <w:tc>
          <w:tcPr>
            <w:tcW w:w="431"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Notes</w:t>
            </w:r>
          </w:p>
        </w:tc>
        <w:tc>
          <w:tcPr>
            <w:tcW w:w="226" w:type="dxa"/>
            <w:tcBorders/>
            <w:vAlign w:val="center"/>
          </w:tcPr>
          <w:p>
            <w:pPr>
              <w:pStyle w:val="TableContents"/>
              <w:bidi w:val="0"/>
              <w:spacing w:before="0" w:after="0"/>
              <w:ind w:left="0" w:right="0" w:hanging="0"/>
              <w:jc w:val="left"/>
              <w:rPr/>
            </w:pPr>
            <w:r>
              <w:rPr/>
              <w:t>  ​</w:t>
            </w:r>
          </w:p>
        </w:tc>
        <w:tc>
          <w:tcPr>
            <w:tcW w:w="16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Outstanding Loan Balance</w:t>
            </w:r>
          </w:p>
        </w:tc>
        <w:tc>
          <w:tcPr>
            <w:tcW w:w="226" w:type="dxa"/>
            <w:tcBorders/>
            <w:vAlign w:val="center"/>
          </w:tcPr>
          <w:p>
            <w:pPr>
              <w:pStyle w:val="TableContents"/>
              <w:bidi w:val="0"/>
              <w:spacing w:before="0" w:after="0"/>
              <w:ind w:left="0" w:right="0" w:hanging="0"/>
              <w:jc w:val="left"/>
              <w:rPr/>
            </w:pPr>
            <w:r>
              <w:rPr/>
              <w:t>  ​</w:t>
            </w:r>
          </w:p>
        </w:tc>
        <w:tc>
          <w:tcPr>
            <w:tcW w:w="15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of Total Multifamily</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Avg Loan Size </w:t>
            </w:r>
          </w:p>
        </w:tc>
        <w:tc>
          <w:tcPr>
            <w:tcW w:w="146" w:type="dxa"/>
            <w:tcBorders/>
            <w:vAlign w:val="center"/>
          </w:tcPr>
          <w:p>
            <w:pPr>
              <w:pStyle w:val="TableContents"/>
              <w:bidi w:val="0"/>
              <w:spacing w:before="0" w:after="0"/>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LTV</w:t>
            </w:r>
          </w:p>
        </w:tc>
        <w:tc>
          <w:tcPr>
            <w:tcW w:w="226" w:type="dxa"/>
            <w:tcBorders/>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DSCR</w:t>
            </w:r>
          </w:p>
        </w:tc>
        <w:tc>
          <w:tcPr>
            <w:tcW w:w="109" w:type="dxa"/>
            <w:tcBorders/>
            <w:vAlign w:val="center"/>
          </w:tcPr>
          <w:p>
            <w:pPr>
              <w:pStyle w:val="TableContents"/>
              <w:bidi w:val="0"/>
              <w:spacing w:before="0" w:after="0"/>
              <w:ind w:left="0" w:right="0" w:hanging="0"/>
              <w:jc w:val="left"/>
              <w:rPr/>
            </w:pPr>
            <w:r>
              <w:rPr/>
              <w:t>​</w:t>
            </w:r>
          </w:p>
        </w:tc>
        <w:tc>
          <w:tcPr>
            <w:tcW w:w="90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Avg # of Units</w:t>
            </w:r>
          </w:p>
        </w:tc>
      </w:tr>
      <w:tr>
        <w:trPr/>
        <w:tc>
          <w:tcPr>
            <w:tcW w:w="1088"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43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65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($000's omitted)</w:t>
            </w:r>
          </w:p>
        </w:tc>
        <w:tc>
          <w:tcPr>
            <w:tcW w:w="22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($000's omitted)</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90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1088"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43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1088" w:type="dxa"/>
            <w:tcBorders>
              <w:left w:val="single" w:sz="2" w:space="0" w:color="000000"/>
            </w:tcBorders>
            <w:shd w:fill="CCEEFF" w:val="clear"/>
            <w:tcMar>
              <w:lef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Market</w:t>
            </w:r>
          </w:p>
        </w:tc>
        <w:tc>
          <w:tcPr>
            <w:tcW w:w="43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w:t>
            </w:r>
          </w:p>
        </w:tc>
        <w:tc>
          <w:tcPr>
            <w:tcW w:w="2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355,862</w:t>
            </w:r>
          </w:p>
        </w:tc>
        <w:tc>
          <w:tcPr>
            <w:tcW w:w="226"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w:t>
            </w:r>
          </w:p>
        </w:tc>
        <w:tc>
          <w:tcPr>
            <w:tcW w:w="7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2,506</w:t>
            </w:r>
          </w:p>
        </w:tc>
        <w:tc>
          <w:tcPr>
            <w:tcW w:w="1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60.8</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w:t>
            </w:r>
          </w:p>
        </w:tc>
        <w:tc>
          <w:tcPr>
            <w:tcW w:w="109" w:type="dxa"/>
            <w:tcBorders/>
            <w:shd w:fill="CCEEFF" w:val="clear"/>
            <w:vAlign w:val="center"/>
          </w:tcPr>
          <w:p>
            <w:pPr>
              <w:pStyle w:val="TableContents"/>
              <w:bidi w:val="0"/>
              <w:spacing w:before="0" w:after="0"/>
              <w:ind w:left="0" w:right="0" w:hanging="0"/>
              <w:jc w:val="left"/>
              <w:rPr/>
            </w:pPr>
            <w:r>
              <w:rPr/>
              <w:t>​</w:t>
            </w:r>
          </w:p>
        </w:tc>
        <w:tc>
          <w:tcPr>
            <w:tcW w:w="9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r>
      <w:tr>
        <w:trPr/>
        <w:tc>
          <w:tcPr>
            <w:tcW w:w="1088" w:type="dxa"/>
            <w:tcBorders>
              <w:left w:val="single" w:sz="2"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Location</w:t>
            </w:r>
          </w:p>
        </w:tc>
        <w:tc>
          <w:tcPr>
            <w:tcW w:w="43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1088" w:type="dxa"/>
            <w:tcBorders>
              <w:left w:val="single" w:sz="2" w:space="0" w:color="000000"/>
            </w:tcBorders>
            <w:shd w:fill="CCEEFF" w:val="clear"/>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Manhattan</w:t>
            </w:r>
          </w:p>
        </w:tc>
        <w:tc>
          <w:tcPr>
            <w:tcW w:w="43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10,300</w:t>
            </w:r>
          </w:p>
        </w:tc>
        <w:tc>
          <w:tcPr>
            <w:tcW w:w="226"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w:t>
            </w:r>
          </w:p>
        </w:tc>
        <w:tc>
          <w:tcPr>
            <w:tcW w:w="1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109" w:type="dxa"/>
            <w:tcBorders/>
            <w:shd w:fill="CCEEFF" w:val="clear"/>
            <w:vAlign w:val="center"/>
          </w:tcPr>
          <w:p>
            <w:pPr>
              <w:pStyle w:val="TableContents"/>
              <w:bidi w:val="0"/>
              <w:spacing w:before="0" w:after="0"/>
              <w:ind w:left="0" w:right="0" w:hanging="0"/>
              <w:jc w:val="left"/>
              <w:rPr/>
            </w:pPr>
            <w:r>
              <w:rPr/>
              <w:t>​</w:t>
            </w:r>
          </w:p>
        </w:tc>
        <w:tc>
          <w:tcPr>
            <w:tcW w:w="9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088" w:type="dxa"/>
            <w:tcBorders>
              <w:left w:val="single" w:sz="2"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 NYC</w:t>
            </w:r>
          </w:p>
        </w:tc>
        <w:tc>
          <w:tcPr>
            <w:tcW w:w="43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2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263,153</w:t>
            </w:r>
          </w:p>
        </w:tc>
        <w:tc>
          <w:tcPr>
            <w:tcW w:w="2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w:t>
            </w:r>
          </w:p>
        </w:tc>
        <w:tc>
          <w:tcPr>
            <w:tcW w:w="1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109" w:type="dxa"/>
            <w:tcBorders/>
            <w:vAlign w:val="center"/>
          </w:tcPr>
          <w:p>
            <w:pPr>
              <w:pStyle w:val="TableContents"/>
              <w:bidi w:val="0"/>
              <w:spacing w:before="0" w:after="0"/>
              <w:ind w:left="0" w:right="0" w:hanging="0"/>
              <w:jc w:val="left"/>
              <w:rPr/>
            </w:pPr>
            <w:r>
              <w:rPr/>
              <w:t>​</w:t>
            </w:r>
          </w:p>
        </w:tc>
        <w:tc>
          <w:tcPr>
            <w:tcW w:w="906"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088" w:type="dxa"/>
            <w:tcBorders>
              <w:left w:val="single" w:sz="2" w:space="0" w:color="000000"/>
            </w:tcBorders>
            <w:shd w:fill="CCEEFF" w:val="clear"/>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Outside NYC</w:t>
            </w:r>
          </w:p>
        </w:tc>
        <w:tc>
          <w:tcPr>
            <w:tcW w:w="43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82,409</w:t>
            </w:r>
          </w:p>
        </w:tc>
        <w:tc>
          <w:tcPr>
            <w:tcW w:w="226"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w:t>
            </w:r>
          </w:p>
        </w:tc>
        <w:tc>
          <w:tcPr>
            <w:tcW w:w="1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109" w:type="dxa"/>
            <w:tcBorders/>
            <w:shd w:fill="CCEEFF" w:val="clear"/>
            <w:vAlign w:val="center"/>
          </w:tcPr>
          <w:p>
            <w:pPr>
              <w:pStyle w:val="TableContents"/>
              <w:bidi w:val="0"/>
              <w:spacing w:before="0" w:after="0"/>
              <w:ind w:left="0" w:right="0" w:hanging="0"/>
              <w:jc w:val="left"/>
              <w:rPr/>
            </w:pPr>
            <w:r>
              <w:rPr/>
              <w:t>​</w:t>
            </w:r>
          </w:p>
        </w:tc>
        <w:tc>
          <w:tcPr>
            <w:tcW w:w="9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088"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43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1088" w:type="dxa"/>
            <w:tcBorders>
              <w:left w:val="single" w:sz="2" w:space="0" w:color="000000"/>
            </w:tcBorders>
            <w:shd w:fill="CCEEFF" w:val="clear"/>
            <w:tcMar>
              <w:lef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Stabilized</w:t>
            </w:r>
          </w:p>
        </w:tc>
        <w:tc>
          <w:tcPr>
            <w:tcW w:w="43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w:t>
            </w:r>
          </w:p>
        </w:tc>
        <w:tc>
          <w:tcPr>
            <w:tcW w:w="2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210,017</w:t>
            </w:r>
          </w:p>
        </w:tc>
        <w:tc>
          <w:tcPr>
            <w:tcW w:w="226"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c>
          <w:tcPr>
            <w:tcW w:w="7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2,188</w:t>
            </w:r>
          </w:p>
        </w:tc>
        <w:tc>
          <w:tcPr>
            <w:tcW w:w="1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61.1</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w:t>
            </w:r>
          </w:p>
        </w:tc>
        <w:tc>
          <w:tcPr>
            <w:tcW w:w="109" w:type="dxa"/>
            <w:tcBorders/>
            <w:shd w:fill="CCEEFF" w:val="clear"/>
            <w:vAlign w:val="center"/>
          </w:tcPr>
          <w:p>
            <w:pPr>
              <w:pStyle w:val="TableContents"/>
              <w:bidi w:val="0"/>
              <w:spacing w:before="0" w:after="0"/>
              <w:ind w:left="0" w:right="0" w:hanging="0"/>
              <w:jc w:val="left"/>
              <w:rPr/>
            </w:pPr>
            <w:r>
              <w:rPr/>
              <w:t>​</w:t>
            </w:r>
          </w:p>
        </w:tc>
        <w:tc>
          <w:tcPr>
            <w:tcW w:w="9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w:t>
            </w:r>
          </w:p>
        </w:tc>
      </w:tr>
      <w:tr>
        <w:trPr/>
        <w:tc>
          <w:tcPr>
            <w:tcW w:w="1088" w:type="dxa"/>
            <w:tcBorders>
              <w:left w:val="single" w:sz="2"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Location</w:t>
            </w:r>
          </w:p>
        </w:tc>
        <w:tc>
          <w:tcPr>
            <w:tcW w:w="43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1088" w:type="dxa"/>
            <w:tcBorders>
              <w:left w:val="single" w:sz="2" w:space="0" w:color="000000"/>
            </w:tcBorders>
            <w:shd w:fill="CCEEFF" w:val="clear"/>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Manhattan</w:t>
            </w:r>
          </w:p>
        </w:tc>
        <w:tc>
          <w:tcPr>
            <w:tcW w:w="43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2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10,090</w:t>
            </w:r>
          </w:p>
        </w:tc>
        <w:tc>
          <w:tcPr>
            <w:tcW w:w="226"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w:t>
            </w:r>
          </w:p>
        </w:tc>
        <w:tc>
          <w:tcPr>
            <w:tcW w:w="1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shd w:fill="CCEEFF" w:val="clear"/>
            <w:vAlign w:val="center"/>
          </w:tcPr>
          <w:p>
            <w:pPr>
              <w:pStyle w:val="TableContents"/>
              <w:bidi w:val="0"/>
              <w:spacing w:before="0" w:after="0"/>
              <w:ind w:left="0" w:right="0" w:hanging="0"/>
              <w:jc w:val="left"/>
              <w:rPr/>
            </w:pPr>
            <w:r>
              <w:rPr/>
              <w:t>​</w:t>
            </w:r>
          </w:p>
        </w:tc>
        <w:tc>
          <w:tcPr>
            <w:tcW w:w="9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1088" w:type="dxa"/>
            <w:tcBorders>
              <w:left w:val="single" w:sz="2"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 NYC</w:t>
            </w:r>
          </w:p>
        </w:tc>
        <w:tc>
          <w:tcPr>
            <w:tcW w:w="43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2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183,077</w:t>
            </w:r>
          </w:p>
        </w:tc>
        <w:tc>
          <w:tcPr>
            <w:tcW w:w="2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2,347</w:t>
            </w:r>
          </w:p>
        </w:tc>
        <w:tc>
          <w:tcPr>
            <w:tcW w:w="1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109" w:type="dxa"/>
            <w:tcBorders/>
            <w:vAlign w:val="center"/>
          </w:tcPr>
          <w:p>
            <w:pPr>
              <w:pStyle w:val="TableContents"/>
              <w:bidi w:val="0"/>
              <w:spacing w:before="0" w:after="0"/>
              <w:ind w:left="0" w:right="0" w:hanging="0"/>
              <w:jc w:val="left"/>
              <w:rPr/>
            </w:pPr>
            <w:r>
              <w:rPr/>
              <w:t>​</w:t>
            </w:r>
          </w:p>
        </w:tc>
        <w:tc>
          <w:tcPr>
            <w:tcW w:w="906"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088"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Outside NYC</w:t>
            </w:r>
          </w:p>
        </w:tc>
        <w:tc>
          <w:tcPr>
            <w:tcW w:w="4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16,850</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7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14</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Office Property Exposure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Bank’s exposure to the Office market is not significant.  Loans secured by office space accounted for 2% of the total loan portfolio at June 30, 2026, with a total balance of $40.2 million, of which less than 1% is located in Manhattan.  The pool has a 2.44x weighted average DSCR and a 54% weighted average LTV.</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Quality and Allowance for Credit Losses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June 30, 2026, the Bank reported $28.3 million in non-performing loans compared to $24.6 million at March 31, 2026 and $21.6 million at December 31, 2025.  Excluding the portion that is government guaranteed by the SBA, non-performing loans were $21.3 million at June 30, 2026 compared to $17.7 million at March 31, 2026 and $17.9 million at December 31, 2025.  The increase in non-performing loans over the linked quarter is primarily attributable to a $3.6 million loan relationship, originated in 2018 by Savoy Bank, which is comprised of one commercial real estate loan in the amount of $2.8 million and an SBA loan in the amount of $0.8 million (non-guaranteed portion).  While the loans are currently non-performing, they are well collateralized and the Bank expects to fully recover the principal amount.  At June 30, 2026 non-performing loans were 1.42% of total loans outstanding versus 1.08% at December 31, 2025.  Excluding the guaranteed portion, non-performing loans were 1.07% of total loans outstanding at June 30, 2026 versus 0.90% at December 31,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second quarter of 2026, the Bank recorded a provision for credit losses of $500 thousand.  The allowance for credit losses was $19.1 million at June 30, 2026 versus $18.7 million at December 31, 2025.  The allowance for credit losses as a percentage of total loans was 0.96% at June 30, 2026 and 0.93% at December 31, 2025.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Interest Margin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Bank’s net interest margin increased to 3.10% for the quarter ended June 30, 2026 compared to 2.96% in the quarter ended March 31, 2026 and 2.76% in the quarter ended June 30, 2025.  Reversal of accrued interest income on a non-accrual loan reduced the net interest margin by 2 basis points for the quarter ended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About Hanover Community Bank and Hanover Bancorp, Inc.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Hanover Bancorp, Inc. (NASDAQ: HNVR), is the bank holding company for Hanover Community Bank, a community commercial bank focusing on highly personalized and efficient services and products responsive to client needs.  Management and the Board of Directors are comprised of a select group of successful local businesspeople who are committed to the success of the Bank by knowing and understanding the metro-New York area’s financial needs and opportunities.  Backed by state-of-the-art technology, Hanover offers a full range of financial services.  Hanover offers a complete suite of consumer, commercial, and municipal banking products and services, including multifamily and commercial mortgages, residential loans, business loans and lines of credit.  Hanover also offers its customers access to 24-hour ATM service with no fees attached, free checking with interest, telephone banking, advanced technologies in mobile and internet banking for our consumer and business customers, safe deposit boxes and much more.  The Company’s corporate administrative office is located in Mineola, New York where it also operates a full-service branch office along with additional branch locations in Garden City Park, Hauppauge, Port Jefferson, Forest Hills, Flushing, Sunset Park, Rockefeller Center and Bowery, New York, and Freehold, New Jersey.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Hanover Community Bank is a member of the Federal Deposit Insurance Corporation and is an Equal Housing/Equal Opportunity Lender.  For further information, call (516) 548-8500 or visit the Bank’s website at </w:t>
      </w:r>
      <w:r>
        <w:rPr>
          <w:rFonts w:ascii="Times New Roman;Times;serif" w:hAnsi="Times New Roman;Times;serif"/>
          <w:b/>
          <w:sz w:val="20"/>
        </w:rPr>
        <w:t>www.hanoverbank.com</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Non-GAAP Disclosure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discussion, including the financial statements attached thereto, includes non-GAAP financial measures which include the Company’s adjusted net income, adjusted diluted earnings per share, adjusted return on average assets, adjusted return on average equity, pre-provision net revenue (“PPNR”), PPNR return on average assets, adjusted PPNR, adjusted PPNR return on average assets, return on average tangible equity, adjusted return on average tangible equity, adjusted non-interest expense to average assets, efficiency ratio, adjusted efficiency ratio, tangible common equity (“TCE”) ratio, TCE, tangible assets and tangible book value per share.  A non-GAAP financial measure is a numerical measure of historical or future performance, financial position or cash flows that excludes or includes amounts that are required to be disclosed in the most directly comparable measure calculated and presented in accordance with generally accepted accounting principles in the United States (“U.S. GAAP”).  The Company’s management believes that the presentation of non-GAAP financial measures provides both management and investors with a greater understanding of the Company’s operating results and trends in addition to the results measured in accordance with GAAP and provides greater comparability across time periods.  While management uses non-GAAP financial measures in its analysis of the Company’s performance, this information is not meant to be considered in isolation or as a substitute for the numbers prepared in accordance with U.S. GAAP or considered to be more important than financial results determined in accordance with U.S. GAAP.  The Company’s non-GAAP financial measures may not be comparable to similarly titled measures used by other financial institutions.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 respect to the calculations of and reconciliations of the aforementioned non-GAAP financial measures, reconciliations to the most comparable U.S. GAAP measures are provided in the tables that follow.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 xml:space="preserve">This release may contain certain "forward-looking statements" within the meaning of the Private Securities Litigation Reform Act of 1995 and may be identified by the use of such words as "may," "believe," "expect," "anticipate," "should," "plan," "estimate," "predict," "continue," and "potential" or the negative of these terms or other comparable terminology.  Examples of forward-looking statements include, but are not limited to, estimates with respect to the financial condition, results of operations and business of Hanover Bancorp, Inc.  Any or all of the forward-looking statements in this release and in any other public statements made by Hanover Bancorp, Inc. may turn out to be incorrect as a result of inaccurate assumptions that Hanover Bancorp, Inc. might make or by known or unknown risks and uncertainties.  There are a number of important factors that could cause future results to differ materially from historical performance and these forward-looking statements.  Factors that might cause such a difference include, but are not limited to: (1) the impact of a pandemic or other health crises and the government’s response to such pandemic or crises on our operations as well as those of our customers and on the economy generally and in our market area specifically; (2) competitive pressures among depository institutions may increase significantly; (3) changes in the interest rate environment may reduce interest margins; (4) loan origination and sale volumes, charge-offs and credit loss provisions may vary substantially from period to period; (5) general economic conditions may be less favorable than expected; (6) political developments, wars or other hostilities may disrupt or increase volatility in securities markets or other economic conditions; (7) legislative or regulatory changes or actions may adversely affect the businesses in which Hanover Bancorp, Inc. is engaged; (8) the impacts of tariffs, sanctions and other trade policies of the United States and its global trading counterparts; (9) changing political conditions and the outcome of federal, state, and local elections and the resulting economic and other impact on the areas in which we conduct business; (10) changes relating to rent regulation and housing, including recent legislative action in New York City to freeze rents on certain rent-regulated properties; (11) changes and trends in the securities markets may adversely impact Hanover Bancorp, Inc.; (12) a delayed or incomplete resolution of regulatory issues could adversely impact our planning; (13) difficulties in integrating any businesses that we may acquire, which may increase our expenses and delay the achievement of any benefits that we may expect from such acquisitions; (14) the impact of the strategic credit cleanup that we implemented during the fourth quarter of 2025 and the wholesale funding restructuring we implemented during the first quarter of 2026; (15) the impact of reputation risk created by the developments discussed above on such matters as business generation and retention, funding and liquidity could be significant; (16) our ability to hire and retain key personnel; and (17) the outcome of any future regulatory and legal investigations and proceedings may not be anticipated.  Further information on other factors that could affect the financial results of Hanover Bancorp, Inc. are included in our Annual Report on Form 10-K under Item 1A - Risk Factors, as updated by our subsequent filings with the Securities and Exchange Commission.  Consequently, no forward-looking statement can be guaranteed.  Hanover Bancorp, Inc. does not intend to update any of the forward-looking statements after the date of this release or to conform these statements to actual events. </w:t>
      </w:r>
    </w:p>
    <w:p>
      <w:pPr>
        <w:pStyle w:val="TextBody"/>
        <w:bidi w:val="0"/>
        <w:spacing w:before="28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HANOVER BANCORP,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STATEMENTS OF CONDITION (unaudited)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tbl>
      <w:tblPr>
        <w:tblW w:w="8017" w:type="dxa"/>
        <w:jc w:val="left"/>
        <w:tblInd w:w="0" w:type="dxa"/>
        <w:tblLayout w:type="fixed"/>
        <w:tblCellMar>
          <w:top w:w="0" w:type="dxa"/>
          <w:left w:w="0" w:type="dxa"/>
          <w:bottom w:w="0" w:type="dxa"/>
          <w:right w:w="0" w:type="dxa"/>
        </w:tblCellMar>
      </w:tblPr>
      <w:tblGrid>
        <w:gridCol w:w="3436"/>
        <w:gridCol w:w="346"/>
        <w:gridCol w:w="211"/>
        <w:gridCol w:w="931"/>
        <w:gridCol w:w="346"/>
        <w:gridCol w:w="211"/>
        <w:gridCol w:w="931"/>
        <w:gridCol w:w="346"/>
        <w:gridCol w:w="211"/>
        <w:gridCol w:w="1048"/>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81860" cy="175260"/>
                      <wp:effectExtent l="0" t="0" r="0" b="0"/>
                      <wp:wrapNone/>
                      <wp:docPr id="74" name="Frame73"/>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91185" cy="175260"/>
                      <wp:effectExtent l="0" t="0" r="0" b="0"/>
                      <wp:wrapNone/>
                      <wp:docPr id="77" name="Frame7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91185" cy="175260"/>
                      <wp:effectExtent l="0" t="0" r="0" b="0"/>
                      <wp:wrapNone/>
                      <wp:docPr id="80" name="Frame7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65480" cy="175260"/>
                      <wp:effectExtent l="0" t="0" r="0" b="0"/>
                      <wp:wrapNone/>
                      <wp:docPr id="83" name="Frame82"/>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46" w:type="dxa"/>
            <w:tcBorders/>
            <w:vAlign w:val="center"/>
          </w:tcPr>
          <w:p>
            <w:pPr>
              <w:pStyle w:val="TableContents"/>
              <w:bidi w:val="0"/>
              <w:spacing w:before="0" w:after="0"/>
              <w:ind w:left="0" w:right="0" w:hanging="0"/>
              <w:jc w:val="left"/>
              <w:rPr/>
            </w:pPr>
            <w:r>
              <w:rPr/>
              <w:t>  ​ ​ ​</w:t>
            </w:r>
          </w:p>
        </w:tc>
        <w:tc>
          <w:tcPr>
            <w:tcW w:w="12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194,448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208,904</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Securities-available for sale, at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99,552</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Investments-held to maturity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held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6,407</w: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net of deferred loan fees and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1,997,893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1,992,694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2,000,749</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(18,694)</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1,978,754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1,973,545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1,982,055</w: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19,168</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Premises &amp; fixed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14,313</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9,855</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41,825</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2,336,630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2,370,949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2,383,096</w: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Core deposits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1,506,501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1,504,925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1,518,491</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517,421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509,896</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deposits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2,012,839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2,022,346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2,028,387</w:t>
            </w:r>
          </w:p>
        </w:tc>
      </w:tr>
      <w:tr>
        <w:trPr/>
        <w:tc>
          <w:tcPr>
            <w:tcW w:w="3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100,725</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Subordinated debentures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24,743</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10,567</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18,408</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2,133,883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2,169,508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2,182,830</w:t>
            </w:r>
          </w:p>
        </w:tc>
      </w:tr>
      <w:tr>
        <w:trPr/>
        <w:tc>
          <w:tcPr>
            <w:tcW w:w="3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200,266</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2,336,630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2,370,949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2,383,096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HANOVER BANCORP,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STATEMENTS OF INCOME (unaudited)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 except per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27"/>
        <w:gridCol w:w="346"/>
        <w:gridCol w:w="211"/>
        <w:gridCol w:w="931"/>
        <w:gridCol w:w="346"/>
        <w:gridCol w:w="211"/>
        <w:gridCol w:w="931"/>
        <w:gridCol w:w="109"/>
        <w:gridCol w:w="346"/>
        <w:gridCol w:w="211"/>
        <w:gridCol w:w="931"/>
        <w:gridCol w:w="346"/>
        <w:gridCol w:w="211"/>
        <w:gridCol w:w="1048"/>
      </w:tblGrid>
      <w:tr>
        <w:trPr/>
        <w:tc>
          <w:tcPr>
            <w:tcW w:w="4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557145" cy="175260"/>
                      <wp:effectExtent l="0" t="0" r="0" b="0"/>
                      <wp:wrapNone/>
                      <wp:docPr id="84" name="Frame83"/>
                      <a:graphic xmlns:a="http://schemas.openxmlformats.org/drawingml/2006/main">
                        <a:graphicData uri="http://schemas.microsoft.com/office/word/2010/wordprocessingShape">
                          <wps:wsp>
                            <wps:cNvSpPr txBox="1"/>
                            <wps:spPr>
                              <a:xfrm>
                                <a:off x="0" y="0"/>
                                <a:ext cx="2557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91185" cy="175260"/>
                      <wp:effectExtent l="0" t="0" r="0" b="0"/>
                      <wp:wrapNone/>
                      <wp:docPr id="87" name="Frame8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91185" cy="175260"/>
                      <wp:effectExtent l="0" t="0" r="0" b="0"/>
                      <wp:wrapNone/>
                      <wp:docPr id="90" name="Frame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91185" cy="175260"/>
                      <wp:effectExtent l="0" t="0" r="0" b="0"/>
                      <wp:wrapNone/>
                      <wp:docPr id="94" name="Frame9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65480" cy="175260"/>
                      <wp:effectExtent l="0" t="0" r="0" b="0"/>
                      <wp:wrapNone/>
                      <wp:docPr id="97" name="Frame96"/>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0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6/30/2025</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6/30/2026</w:t>
            </w:r>
          </w:p>
        </w:tc>
        <w:tc>
          <w:tcPr>
            <w:tcW w:w="346" w:type="dxa"/>
            <w:tcBorders/>
            <w:vAlign w:val="center"/>
          </w:tcPr>
          <w:p>
            <w:pPr>
              <w:pStyle w:val="TableContents"/>
              <w:bidi w:val="0"/>
              <w:spacing w:before="0" w:after="0"/>
              <w:ind w:left="0" w:right="0" w:hanging="0"/>
              <w:jc w:val="left"/>
              <w:rPr/>
            </w:pPr>
            <w:r>
              <w:rPr/>
              <w:t>  ​ ​ ​</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6/30/2025</w:t>
            </w:r>
          </w:p>
        </w:tc>
      </w:tr>
      <w:tr>
        <w:trPr/>
        <w:tc>
          <w:tcPr>
            <w:tcW w:w="40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32,049</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64,886</w:t>
            </w:r>
          </w:p>
        </w:tc>
      </w:tr>
      <w:tr>
        <w:trPr/>
        <w:tc>
          <w:tcPr>
            <w:tcW w:w="40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17,254</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35,462</w:t>
            </w:r>
          </w:p>
        </w:tc>
      </w:tr>
      <w:tr>
        <w:trPr/>
        <w:tc>
          <w:tcPr>
            <w:tcW w:w="402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14,795</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29,424</w:t>
            </w:r>
          </w:p>
        </w:tc>
      </w:tr>
      <w:tr>
        <w:trPr/>
        <w:tc>
          <w:tcPr>
            <w:tcW w:w="40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2,957</w:t>
            </w:r>
          </w:p>
        </w:tc>
      </w:tr>
      <w:tr>
        <w:trPr/>
        <w:tc>
          <w:tcPr>
            <w:tcW w:w="402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interest income after provision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12,438</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26,467</w:t>
            </w:r>
          </w:p>
        </w:tc>
      </w:tr>
      <w:tr>
        <w:trPr/>
        <w:tc>
          <w:tcPr>
            <w:tcW w:w="40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40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servicing and fee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w:t>
            </w:r>
          </w:p>
        </w:tc>
      </w:tr>
      <w:tr>
        <w:trPr/>
        <w:tc>
          <w:tcPr>
            <w:tcW w:w="40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charges on deposit accounts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40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loans held-for-sale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4,650</w:t>
            </w:r>
          </w:p>
        </w:tc>
      </w:tr>
      <w:tr>
        <w:trPr/>
        <w:tc>
          <w:tcPr>
            <w:tcW w:w="40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402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3,561</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7,293</w:t>
            </w:r>
          </w:p>
        </w:tc>
      </w:tr>
      <w:tr>
        <w:trPr/>
        <w:tc>
          <w:tcPr>
            <w:tcW w:w="40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40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7,003</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14,235</w:t>
            </w:r>
          </w:p>
        </w:tc>
      </w:tr>
      <w:tr>
        <w:trPr/>
        <w:tc>
          <w:tcPr>
            <w:tcW w:w="40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40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3,180</w:t>
            </w:r>
          </w:p>
        </w:tc>
      </w:tr>
      <w:tr>
        <w:trPr/>
        <w:tc>
          <w:tcPr>
            <w:tcW w:w="40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3,746</w:t>
            </w:r>
          </w:p>
        </w:tc>
      </w:tr>
      <w:tr>
        <w:trPr/>
        <w:tc>
          <w:tcPr>
            <w:tcW w:w="40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Data processing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w:t>
            </w:r>
          </w:p>
        </w:tc>
      </w:tr>
      <w:tr>
        <w:trPr/>
        <w:tc>
          <w:tcPr>
            <w:tcW w:w="40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w:t>
            </w:r>
          </w:p>
        </w:tc>
      </w:tr>
      <w:tr>
        <w:trPr/>
        <w:tc>
          <w:tcPr>
            <w:tcW w:w="40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deposit insurance premiums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r>
      <w:tr>
        <w:trPr/>
        <w:tc>
          <w:tcPr>
            <w:tcW w:w="40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1,952</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3,983</w:t>
            </w:r>
          </w:p>
        </w:tc>
      </w:tr>
      <w:tr>
        <w:trPr/>
        <w:tc>
          <w:tcPr>
            <w:tcW w:w="402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12,616</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28,612</w:t>
            </w:r>
          </w:p>
        </w:tc>
      </w:tr>
      <w:tr>
        <w:trPr/>
        <w:tc>
          <w:tcPr>
            <w:tcW w:w="40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402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3,383</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5,148</w:t>
            </w:r>
          </w:p>
        </w:tc>
      </w:tr>
      <w:tr>
        <w:trPr/>
        <w:tc>
          <w:tcPr>
            <w:tcW w:w="40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expense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w:t>
            </w:r>
          </w:p>
        </w:tc>
      </w:tr>
      <w:tr>
        <w:trPr/>
        <w:tc>
          <w:tcPr>
            <w:tcW w:w="402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402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3,964</w:t>
            </w:r>
          </w:p>
        </w:tc>
      </w:tr>
      <w:tr>
        <w:trPr/>
        <w:tc>
          <w:tcPr>
            <w:tcW w:w="402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40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Earnings per share ("EPS"):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40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0.53</w:t>
            </w:r>
          </w:p>
        </w:tc>
      </w:tr>
      <w:tr>
        <w:trPr/>
        <w:tc>
          <w:tcPr>
            <w:tcW w:w="40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Diluted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0.53</w:t>
            </w:r>
          </w:p>
        </w:tc>
      </w:tr>
      <w:tr>
        <w:trPr/>
        <w:tc>
          <w:tcPr>
            <w:tcW w:w="402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40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Average shares outstanding for basic EPS </w:t>
            </w:r>
            <w:r>
              <w:rPr>
                <w:rFonts w:ascii="Times New Roman;Times;serif" w:hAnsi="Times New Roman;Times;serif"/>
                <w:sz w:val="15"/>
              </w:rPr>
              <w:t>(1)(2)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7,396,444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7,500,871</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7,415,171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7,482,307</w:t>
            </w:r>
          </w:p>
        </w:tc>
      </w:tr>
      <w:tr>
        <w:trPr/>
        <w:tc>
          <w:tcPr>
            <w:tcW w:w="40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Average shares outstanding for diluted EPS </w:t>
            </w:r>
            <w:r>
              <w:rPr>
                <w:rFonts w:ascii="Times New Roman;Times;serif" w:hAnsi="Times New Roman;Times;serif"/>
                <w:sz w:val="15"/>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7,396,444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7,506,584</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7,415,171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7,488,226</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tbl>
      <w:tblPr>
        <w:tblW w:w="5470" w:type="dxa"/>
        <w:jc w:val="left"/>
        <w:tblInd w:w="0" w:type="dxa"/>
        <w:tblLayout w:type="fixed"/>
        <w:tblCellMar>
          <w:top w:w="0" w:type="dxa"/>
          <w:left w:w="0" w:type="dxa"/>
          <w:bottom w:w="0" w:type="dxa"/>
          <w:right w:w="0" w:type="dxa"/>
        </w:tblCellMar>
      </w:tblPr>
      <w:tblGrid>
        <w:gridCol w:w="185"/>
        <w:gridCol w:w="5285"/>
      </w:tblGrid>
      <w:tr>
        <w:trPr/>
        <w:tc>
          <w:tcPr>
            <w:tcW w:w="18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5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includes common stock and Series A preferred stock.</w:t>
            </w:r>
          </w:p>
        </w:tc>
      </w:tr>
    </w:tbl>
    <w:tbl>
      <w:tblPr>
        <w:tblW w:w="5905" w:type="dxa"/>
        <w:jc w:val="left"/>
        <w:tblInd w:w="0" w:type="dxa"/>
        <w:tblLayout w:type="fixed"/>
        <w:tblCellMar>
          <w:top w:w="0" w:type="dxa"/>
          <w:left w:w="0" w:type="dxa"/>
          <w:bottom w:w="0" w:type="dxa"/>
          <w:right w:w="0" w:type="dxa"/>
        </w:tblCellMar>
      </w:tblPr>
      <w:tblGrid>
        <w:gridCol w:w="185"/>
        <w:gridCol w:w="5720"/>
      </w:tblGrid>
      <w:tr>
        <w:trPr/>
        <w:tc>
          <w:tcPr>
            <w:tcW w:w="18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shares outstanding before subtracting participating securities.</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HANOVER BANCORP,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STATEMENTS OF INCOME (unaudited)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TREND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 except per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48"/>
        <w:gridCol w:w="346"/>
        <w:gridCol w:w="211"/>
        <w:gridCol w:w="931"/>
        <w:gridCol w:w="346"/>
        <w:gridCol w:w="211"/>
        <w:gridCol w:w="931"/>
        <w:gridCol w:w="346"/>
        <w:gridCol w:w="211"/>
        <w:gridCol w:w="931"/>
        <w:gridCol w:w="346"/>
        <w:gridCol w:w="211"/>
        <w:gridCol w:w="931"/>
        <w:gridCol w:w="346"/>
        <w:gridCol w:w="211"/>
        <w:gridCol w:w="1048"/>
      </w:tblGrid>
      <w:tr>
        <w:trPr/>
        <w:tc>
          <w:tcPr>
            <w:tcW w:w="2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681480" cy="175260"/>
                      <wp:effectExtent l="0" t="0" r="0" b="0"/>
                      <wp:wrapNone/>
                      <wp:docPr id="98" name="Frame97"/>
                      <a:graphic xmlns:a="http://schemas.openxmlformats.org/drawingml/2006/main">
                        <a:graphicData uri="http://schemas.microsoft.com/office/word/2010/wordprocessingShape">
                          <wps:wsp>
                            <wps:cNvSpPr txBox="1"/>
                            <wps:spPr>
                              <a:xfrm>
                                <a:off x="0" y="0"/>
                                <a:ext cx="168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91185" cy="175260"/>
                      <wp:effectExtent l="0" t="0" r="0" b="0"/>
                      <wp:wrapNone/>
                      <wp:docPr id="101" name="Frame10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91185" cy="175260"/>
                      <wp:effectExtent l="0" t="0" r="0" b="0"/>
                      <wp:wrapNone/>
                      <wp:docPr id="104" name="Frame10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91185" cy="175260"/>
                      <wp:effectExtent l="0" t="0" r="0" b="0"/>
                      <wp:wrapNone/>
                      <wp:docPr id="107" name="Frame1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91185" cy="175260"/>
                      <wp:effectExtent l="0" t="0" r="0" b="0"/>
                      <wp:wrapNone/>
                      <wp:docPr id="110" name="Frame10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65480" cy="175260"/>
                      <wp:effectExtent l="0" t="0" r="0" b="0"/>
                      <wp:wrapNone/>
                      <wp:docPr id="113" name="Frame112"/>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1"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26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3/31/2026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9/30/2025</w:t>
            </w:r>
          </w:p>
        </w:tc>
        <w:tc>
          <w:tcPr>
            <w:tcW w:w="346" w:type="dxa"/>
            <w:tcBorders/>
            <w:vAlign w:val="center"/>
          </w:tcPr>
          <w:p>
            <w:pPr>
              <w:pStyle w:val="TableContents"/>
              <w:bidi w:val="0"/>
              <w:spacing w:before="0" w:after="0"/>
              <w:ind w:left="0" w:right="0" w:hanging="0"/>
              <w:jc w:val="left"/>
              <w:rPr/>
            </w:pPr>
            <w:r>
              <w:rPr/>
              <w:t>  ​ ​ ​</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6/30/2025</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32,049</w:t>
            </w:r>
          </w:p>
        </w:tc>
      </w:tr>
      <w:tr>
        <w:trPr/>
        <w:tc>
          <w:tcPr>
            <w:tcW w:w="26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17,254</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14,795</w:t>
            </w:r>
          </w:p>
        </w:tc>
      </w:tr>
      <w:tr>
        <w:trPr/>
        <w:tc>
          <w:tcPr>
            <w:tcW w:w="26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interest income after provision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12,438</w:t>
            </w:r>
          </w:p>
        </w:tc>
      </w:tr>
      <w:tr>
        <w:trPr/>
        <w:tc>
          <w:tcPr>
            <w:tcW w:w="26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servicing and fee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r>
      <w:tr>
        <w:trPr/>
        <w:tc>
          <w:tcPr>
            <w:tcW w:w="26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charges on deposit accounts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loans held-for-sale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w:t>
            </w:r>
          </w:p>
        </w:tc>
      </w:tr>
      <w:tr>
        <w:trPr/>
        <w:tc>
          <w:tcPr>
            <w:tcW w:w="26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26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3,561</w:t>
            </w:r>
          </w:p>
        </w:tc>
      </w:tr>
      <w:tr>
        <w:trPr/>
        <w:tc>
          <w:tcPr>
            <w:tcW w:w="264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26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benefits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7,003</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26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Data processing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r>
      <w:tr>
        <w:trPr/>
        <w:tc>
          <w:tcPr>
            <w:tcW w:w="26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deposit insurance premiums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r>
      <w:tr>
        <w:trPr/>
        <w:tc>
          <w:tcPr>
            <w:tcW w:w="26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1,952</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12,616</w:t>
            </w:r>
          </w:p>
        </w:tc>
      </w:tr>
      <w:tr>
        <w:trPr/>
        <w:tc>
          <w:tcPr>
            <w:tcW w:w="26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3,383</w:t>
            </w:r>
          </w:p>
        </w:tc>
      </w:tr>
      <w:tr>
        <w:trPr/>
        <w:tc>
          <w:tcPr>
            <w:tcW w:w="26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w:t>
            </w:r>
          </w:p>
        </w:tc>
      </w:tr>
      <w:tr>
        <w:trPr/>
        <w:tc>
          <w:tcPr>
            <w:tcW w:w="264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26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w:t>
            </w:r>
          </w:p>
        </w:tc>
      </w:tr>
      <w:tr>
        <w:trPr/>
        <w:tc>
          <w:tcPr>
            <w:tcW w:w="264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26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Earnings per share ("EPS"):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r>
      <w:tr>
        <w:trPr/>
        <w:tc>
          <w:tcPr>
            <w:tcW w:w="26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r>
      <w:tr>
        <w:trPr/>
        <w:tc>
          <w:tcPr>
            <w:tcW w:w="264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26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Average shares outstanding for basic EPS </w:t>
            </w:r>
            <w:r>
              <w:rPr>
                <w:rFonts w:ascii="Times New Roman;Times;serif" w:hAnsi="Times New Roman;Times;serif"/>
                <w:sz w:val="15"/>
              </w:rPr>
              <w:t>(1)(2)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7,396,444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7,434,107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7,443,861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7,477,647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7,500,871</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Average shares outstanding for diluted EPS </w:t>
            </w:r>
            <w:r>
              <w:rPr>
                <w:rFonts w:ascii="Times New Roman;Times;serif" w:hAnsi="Times New Roman;Times;serif"/>
                <w:sz w:val="15"/>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7,396,444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7,439,004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7,447,556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7,483,319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7,506,584</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tbl>
      <w:tblPr>
        <w:tblW w:w="5470" w:type="dxa"/>
        <w:jc w:val="left"/>
        <w:tblInd w:w="0" w:type="dxa"/>
        <w:tblLayout w:type="fixed"/>
        <w:tblCellMar>
          <w:top w:w="0" w:type="dxa"/>
          <w:left w:w="0" w:type="dxa"/>
          <w:bottom w:w="0" w:type="dxa"/>
          <w:right w:w="0" w:type="dxa"/>
        </w:tblCellMar>
      </w:tblPr>
      <w:tblGrid>
        <w:gridCol w:w="185"/>
        <w:gridCol w:w="5285"/>
      </w:tblGrid>
      <w:tr>
        <w:trPr/>
        <w:tc>
          <w:tcPr>
            <w:tcW w:w="18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5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includes common stock and Series A preferred stock.</w:t>
            </w:r>
          </w:p>
        </w:tc>
      </w:tr>
    </w:tbl>
    <w:tbl>
      <w:tblPr>
        <w:tblW w:w="5905" w:type="dxa"/>
        <w:jc w:val="left"/>
        <w:tblInd w:w="0" w:type="dxa"/>
        <w:tblLayout w:type="fixed"/>
        <w:tblCellMar>
          <w:top w:w="0" w:type="dxa"/>
          <w:left w:w="0" w:type="dxa"/>
          <w:bottom w:w="0" w:type="dxa"/>
          <w:right w:w="0" w:type="dxa"/>
        </w:tblCellMar>
      </w:tblPr>
      <w:tblGrid>
        <w:gridCol w:w="185"/>
        <w:gridCol w:w="5720"/>
      </w:tblGrid>
      <w:tr>
        <w:trPr/>
        <w:tc>
          <w:tcPr>
            <w:tcW w:w="18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shares outstanding before subtracting participating securities.</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HANOVER BANCORP,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CONSOLIDATED NON-GAAP FINANCIAL INFORMATION </w:t>
      </w:r>
      <w:r>
        <w:rPr>
          <w:rFonts w:ascii="Times New Roman;Times;serif" w:hAnsi="Times New Roman;Times;serif"/>
          <w:b/>
          <w:sz w:val="15"/>
        </w:rPr>
        <w:t>(1)</w:t>
      </w:r>
      <w:r>
        <w:rPr>
          <w:rFonts w:ascii="Times New Roman;Times;serif" w:hAnsi="Times New Roman;Times;serif"/>
          <w:sz w:val="20"/>
        </w:rPr>
        <w:t xml:space="preserve"> </w:t>
      </w:r>
      <w:r>
        <w:rPr>
          <w:rFonts w:ascii="Times New Roman;Times;serif" w:hAnsi="Times New Roman;Times;serif"/>
          <w:b/>
          <w:sz w:val="20"/>
        </w:rPr>
        <w:t>(unaudited)</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(dollars in thousands, except per share data)</w:t>
      </w:r>
    </w:p>
    <w:p>
      <w:pPr>
        <w:pStyle w:val="TextBody"/>
        <w:bidi w:val="0"/>
        <w:spacing w:before="0" w:after="0"/>
        <w:ind w:left="0" w:right="0" w:hanging="0"/>
        <w:jc w:val="both"/>
        <w:rPr/>
      </w:pPr>
      <w:r>
        <w:rPr/>
        <w:t>​</w:t>
      </w:r>
    </w:p>
    <w:tbl>
      <w:tblPr>
        <w:tblW w:w="10059" w:type="dxa"/>
        <w:jc w:val="left"/>
        <w:tblInd w:w="0" w:type="dxa"/>
        <w:tblLayout w:type="fixed"/>
        <w:tblCellMar>
          <w:top w:w="0" w:type="dxa"/>
          <w:left w:w="0" w:type="dxa"/>
          <w:bottom w:w="0" w:type="dxa"/>
          <w:right w:w="0" w:type="dxa"/>
        </w:tblCellMar>
      </w:tblPr>
      <w:tblGrid>
        <w:gridCol w:w="4816"/>
        <w:gridCol w:w="346"/>
        <w:gridCol w:w="219"/>
        <w:gridCol w:w="606"/>
        <w:gridCol w:w="348"/>
        <w:gridCol w:w="228"/>
        <w:gridCol w:w="597"/>
        <w:gridCol w:w="256"/>
        <w:gridCol w:w="346"/>
        <w:gridCol w:w="219"/>
        <w:gridCol w:w="606"/>
        <w:gridCol w:w="346"/>
        <w:gridCol w:w="219"/>
        <w:gridCol w:w="606"/>
        <w:gridCol w:w="301"/>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058160" cy="175260"/>
                      <wp:effectExtent l="0" t="0" r="0" b="0"/>
                      <wp:wrapNone/>
                      <wp:docPr id="114" name="Frame113"/>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9065" cy="175260"/>
                      <wp:effectExtent l="0" t="0" r="0" b="0"/>
                      <wp:wrapNone/>
                      <wp:docPr id="116" name="Frame115"/>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84810" cy="175260"/>
                      <wp:effectExtent l="0" t="0" r="0" b="0"/>
                      <wp:wrapNone/>
                      <wp:docPr id="117" name="Frame116"/>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20980" cy="175260"/>
                      <wp:effectExtent l="0" t="0" r="0" b="0"/>
                      <wp:wrapNone/>
                      <wp:docPr id="118" name="Frame117"/>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44780" cy="175260"/>
                      <wp:effectExtent l="0" t="0" r="0" b="0"/>
                      <wp:wrapNone/>
                      <wp:docPr id="119" name="Frame11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79095" cy="175260"/>
                      <wp:effectExtent l="0" t="0" r="0" b="0"/>
                      <wp:wrapNone/>
                      <wp:docPr id="120" name="Frame119"/>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62560" cy="175260"/>
                      <wp:effectExtent l="0" t="0" r="0" b="0"/>
                      <wp:wrapNone/>
                      <wp:docPr id="121" name="Frame12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9065" cy="175260"/>
                      <wp:effectExtent l="0" t="0" r="0" b="0"/>
                      <wp:wrapNone/>
                      <wp:docPr id="123" name="Frame122"/>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84810" cy="175260"/>
                      <wp:effectExtent l="0" t="0" r="0" b="0"/>
                      <wp:wrapNone/>
                      <wp:docPr id="124" name="Frame123"/>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9065" cy="175260"/>
                      <wp:effectExtent l="0" t="0" r="0" b="0"/>
                      <wp:wrapNone/>
                      <wp:docPr id="126" name="Frame125"/>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84810" cy="175260"/>
                      <wp:effectExtent l="0" t="0" r="0" b="0"/>
                      <wp:wrapNone/>
                      <wp:docPr id="127" name="Frame126"/>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91135" cy="175260"/>
                      <wp:effectExtent l="0" t="0" r="0" b="0"/>
                      <wp:wrapNone/>
                      <wp:docPr id="128" name="Frame12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xml:space="preserve">Three Months Ended </w:t>
            </w:r>
            <w:r>
              <w:rPr>
                <w:rFonts w:ascii="Times New Roman;Times;serif" w:hAnsi="Times New Roman;Times;serif"/>
                <w:b/>
                <w:sz w:val="12"/>
              </w:rPr>
              <w:t>(2)</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01" w:type="dxa"/>
            <w:tcBorders/>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6/30/2026</w:t>
            </w:r>
          </w:p>
        </w:tc>
        <w:tc>
          <w:tcPr>
            <w:tcW w:w="348" w:type="dxa"/>
            <w:tcBorders/>
            <w:vAlign w:val="center"/>
          </w:tcPr>
          <w:p>
            <w:pPr>
              <w:pStyle w:val="TableContents"/>
              <w:bidi w:val="0"/>
              <w:spacing w:before="0" w:after="0"/>
              <w:ind w:left="0" w:right="0" w:hanging="0"/>
              <w:jc w:val="left"/>
              <w:rPr/>
            </w:pPr>
            <w:r>
              <w:rPr/>
              <w:t>  ​ ​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6/30/2025</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6/30/2026</w:t>
            </w:r>
          </w:p>
        </w:tc>
        <w:tc>
          <w:tcPr>
            <w:tcW w:w="346" w:type="dxa"/>
            <w:tcBorders/>
            <w:vAlign w:val="center"/>
          </w:tcPr>
          <w:p>
            <w:pPr>
              <w:pStyle w:val="TableContents"/>
              <w:bidi w:val="0"/>
              <w:spacing w:before="0" w:after="0"/>
              <w:ind w:left="0" w:right="0" w:hanging="0"/>
              <w:jc w:val="left"/>
              <w:rPr/>
            </w:pPr>
            <w:r>
              <w:rPr/>
              <w:t>  ​ ​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6/30/2025</w:t>
            </w:r>
          </w:p>
        </w:tc>
        <w:tc>
          <w:tcPr>
            <w:tcW w:w="301" w:type="dxa"/>
            <w:tcBorders/>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income, as reported</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4,064</w:t>
            </w:r>
          </w:p>
        </w:tc>
        <w:tc>
          <w:tcPr>
            <w:tcW w:w="348"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2,443</w:t>
            </w:r>
          </w:p>
        </w:tc>
        <w:tc>
          <w:tcPr>
            <w:tcW w:w="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5,938</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3,964</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extinguishment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w:t>
            </w:r>
          </w:p>
        </w:tc>
        <w:tc>
          <w:tcPr>
            <w:tcW w:w="348"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597"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Conversion expenses</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3,180</w:t>
            </w:r>
          </w:p>
        </w:tc>
        <w:tc>
          <w:tcPr>
            <w:tcW w:w="301"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Severance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48"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2,340</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adjustments, before income taxes</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w:t>
            </w:r>
          </w:p>
        </w:tc>
        <w:tc>
          <w:tcPr>
            <w:tcW w:w="348"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2,580</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3,180</w:t>
            </w:r>
          </w:p>
        </w:tc>
        <w:tc>
          <w:tcPr>
            <w:tcW w:w="301"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effect of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c>
          <w:tcPr>
            <w:tcW w:w="348"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608</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adjustments, after income taxes</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w:t>
            </w:r>
          </w:p>
        </w:tc>
        <w:tc>
          <w:tcPr>
            <w:tcW w:w="348"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2,329</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2,572</w:t>
            </w:r>
          </w:p>
        </w:tc>
        <w:tc>
          <w:tcPr>
            <w:tcW w:w="301"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Adjusted net income (non-GAAP)</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4,270</w:t>
            </w:r>
          </w:p>
        </w:tc>
        <w:tc>
          <w:tcPr>
            <w:tcW w:w="348"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2,443</w:t>
            </w:r>
          </w:p>
        </w:tc>
        <w:tc>
          <w:tcPr>
            <w:tcW w:w="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8,267</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6,536</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 xml:space="preserve">Diluted earnings per share </w:t>
            </w:r>
            <w:r>
              <w:rPr>
                <w:rFonts w:ascii="Times New Roman;Times;serif" w:hAnsi="Times New Roman;Times;serif"/>
                <w:b/>
                <w:sz w:val="14"/>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0.55</w:t>
            </w:r>
          </w:p>
        </w:tc>
        <w:tc>
          <w:tcPr>
            <w:tcW w:w="348"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0.33</w:t>
            </w:r>
          </w:p>
        </w:tc>
        <w:tc>
          <w:tcPr>
            <w:tcW w:w="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0.80</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0.53</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for non-recurring charges, net of tax</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348"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0.31</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0.34</w:t>
            </w:r>
          </w:p>
        </w:tc>
        <w:tc>
          <w:tcPr>
            <w:tcW w:w="301"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 xml:space="preserve">Adjusted diluted earnings per share (non-GAAP) </w:t>
            </w:r>
            <w:r>
              <w:rPr>
                <w:rFonts w:ascii="Times New Roman;Times;serif" w:hAnsi="Times New Roman;Times;serif"/>
                <w:b/>
                <w:sz w:val="14"/>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0.58</w:t>
            </w:r>
          </w:p>
        </w:tc>
        <w:tc>
          <w:tcPr>
            <w:tcW w:w="348"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0.33</w:t>
            </w:r>
          </w:p>
        </w:tc>
        <w:tc>
          <w:tcPr>
            <w:tcW w:w="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0.87</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 xml:space="preserve">Efficiency ratio (non-GAAP) </w:t>
            </w:r>
            <w:r>
              <w:rPr>
                <w:rFonts w:ascii="Times New Roman;Times;serif" w:hAnsi="Times New Roman;Times;serif"/>
                <w:b/>
                <w:sz w:val="14"/>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69.75</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8" w:type="dxa"/>
            <w:tcBorders/>
            <w:shd w:fill="CCEEFF" w:val="clear"/>
            <w:vAlign w:val="center"/>
          </w:tcPr>
          <w:p>
            <w:pPr>
              <w:pStyle w:val="TableContents"/>
              <w:bidi w:val="0"/>
              <w:spacing w:before="0" w:after="0"/>
              <w:ind w:left="0" w:right="0" w:hanging="0"/>
              <w:jc w:val="left"/>
              <w:rPr/>
            </w:pPr>
            <w:r>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68.73</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75.64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77.93</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extinguishment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8" w:type="dxa"/>
            <w:tcBorders/>
            <w:shd w:fill="CCEEFF" w:val="clear"/>
            <w:vAlign w:val="center"/>
          </w:tcPr>
          <w:p>
            <w:pPr>
              <w:pStyle w:val="TableContents"/>
              <w:bidi w:val="0"/>
              <w:spacing w:before="0" w:after="0"/>
              <w:ind w:left="0" w:right="0" w:hanging="0"/>
              <w:jc w:val="left"/>
              <w:rPr/>
            </w:pPr>
            <w:r>
              <w:rPr/>
              <w:t>​</w:t>
            </w:r>
          </w:p>
        </w:tc>
        <w:tc>
          <w:tcPr>
            <w:tcW w:w="597"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Conversion expenses</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8"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(8.66)</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Severance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(0.18)</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8" w:type="dxa"/>
            <w:tcBorders/>
            <w:shd w:fill="CCEEFF" w:val="clear"/>
            <w:vAlign w:val="center"/>
          </w:tcPr>
          <w:p>
            <w:pPr>
              <w:pStyle w:val="TableContents"/>
              <w:bidi w:val="0"/>
              <w:spacing w:before="0" w:after="0"/>
              <w:ind w:left="0" w:right="0" w:hanging="0"/>
              <w:jc w:val="left"/>
              <w:rPr/>
            </w:pPr>
            <w:r>
              <w:rPr/>
              <w:t>​</w:t>
            </w:r>
          </w:p>
        </w:tc>
        <w:tc>
          <w:tcPr>
            <w:tcW w:w="5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Adjusted efficiency ratio (non-GAAP)</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68.34</w:t>
            </w:r>
          </w:p>
        </w:tc>
        <w:tc>
          <w:tcPr>
            <w:tcW w:w="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8" w:type="dxa"/>
            <w:tcBorders/>
            <w:vAlign w:val="center"/>
          </w:tcPr>
          <w:p>
            <w:pPr>
              <w:pStyle w:val="TableContents"/>
              <w:bidi w:val="0"/>
              <w:spacing w:before="0" w:after="0"/>
              <w:ind w:left="0" w:right="0" w:hanging="0"/>
              <w:jc w:val="left"/>
              <w:rPr/>
            </w:pPr>
            <w:r>
              <w:rPr/>
              <w:t>​</w:t>
            </w:r>
          </w:p>
        </w:tc>
        <w:tc>
          <w:tcPr>
            <w:tcW w:w="5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68.73</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68.97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9" w:type="dxa"/>
            <w:tcBorders/>
            <w:vAlign w:val="center"/>
          </w:tcPr>
          <w:p>
            <w:pPr>
              <w:pStyle w:val="TableContents"/>
              <w:bidi w:val="0"/>
              <w:spacing w:before="0" w:after="0"/>
              <w:ind w:left="0" w:right="0" w:hanging="0"/>
              <w:jc w:val="left"/>
              <w:rPr/>
            </w:pPr>
            <w:r>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69.27</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8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597"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Return on average assets</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0.73</w:t>
            </w:r>
          </w:p>
        </w:tc>
        <w:tc>
          <w:tcPr>
            <w:tcW w:w="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8"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0.44</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0.36</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for non-recurring charges,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0.04</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8" w:type="dxa"/>
            <w:tcBorders/>
            <w:shd w:fill="CCEEFF" w:val="clear"/>
            <w:vAlign w:val="center"/>
          </w:tcPr>
          <w:p>
            <w:pPr>
              <w:pStyle w:val="TableContents"/>
              <w:bidi w:val="0"/>
              <w:spacing w:before="0" w:after="0"/>
              <w:ind w:left="0" w:right="0" w:hanging="0"/>
              <w:jc w:val="left"/>
              <w:rPr/>
            </w:pPr>
            <w:r>
              <w:rPr/>
              <w:t>​</w:t>
            </w:r>
          </w:p>
        </w:tc>
        <w:tc>
          <w:tcPr>
            <w:tcW w:w="5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0.23</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Adjusted return on average assets (non-GAAP)</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0.77</w:t>
            </w:r>
          </w:p>
        </w:tc>
        <w:tc>
          <w:tcPr>
            <w:tcW w:w="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8" w:type="dxa"/>
            <w:tcBorders/>
            <w:vAlign w:val="center"/>
          </w:tcPr>
          <w:p>
            <w:pPr>
              <w:pStyle w:val="TableContents"/>
              <w:bidi w:val="0"/>
              <w:spacing w:before="0" w:after="0"/>
              <w:ind w:left="0" w:right="0" w:hanging="0"/>
              <w:jc w:val="left"/>
              <w:rPr/>
            </w:pPr>
            <w:r>
              <w:rPr/>
              <w:t>​</w:t>
            </w:r>
          </w:p>
        </w:tc>
        <w:tc>
          <w:tcPr>
            <w:tcW w:w="5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0.44</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9" w:type="dxa"/>
            <w:tcBorders/>
            <w:vAlign w:val="center"/>
          </w:tcPr>
          <w:p>
            <w:pPr>
              <w:pStyle w:val="TableContents"/>
              <w:bidi w:val="0"/>
              <w:spacing w:before="0" w:after="0"/>
              <w:ind w:left="0" w:right="0" w:hanging="0"/>
              <w:jc w:val="left"/>
              <w:rPr/>
            </w:pPr>
            <w:r>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0.59</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8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597"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 xml:space="preserve">Return on average equity </w:t>
            </w:r>
            <w:r>
              <w:rPr>
                <w:rFonts w:ascii="Times New Roman;Times;serif" w:hAnsi="Times New Roman;Times;serif"/>
                <w:b/>
                <w:sz w:val="14"/>
              </w:rPr>
              <w:t>(3)</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8.01</w:t>
            </w:r>
          </w:p>
        </w:tc>
        <w:tc>
          <w:tcPr>
            <w:tcW w:w="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8"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for non-recurring charges,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0.41</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8" w:type="dxa"/>
            <w:tcBorders/>
            <w:shd w:fill="CCEEFF" w:val="clear"/>
            <w:vAlign w:val="center"/>
          </w:tcPr>
          <w:p>
            <w:pPr>
              <w:pStyle w:val="TableContents"/>
              <w:bidi w:val="0"/>
              <w:spacing w:before="0" w:after="0"/>
              <w:ind w:left="0" w:right="0" w:hanging="0"/>
              <w:jc w:val="left"/>
              <w:rPr/>
            </w:pPr>
            <w:r>
              <w:rPr/>
              <w:t>​</w:t>
            </w:r>
          </w:p>
        </w:tc>
        <w:tc>
          <w:tcPr>
            <w:tcW w:w="5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 xml:space="preserve">Adjusted return on average equity (non-GAAP) </w:t>
            </w:r>
            <w:r>
              <w:rPr>
                <w:rFonts w:ascii="Times New Roman;Times;serif" w:hAnsi="Times New Roman;Times;serif"/>
                <w:b/>
                <w:sz w:val="14"/>
              </w:rPr>
              <w:t>(3)</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8.42</w:t>
            </w:r>
          </w:p>
        </w:tc>
        <w:tc>
          <w:tcPr>
            <w:tcW w:w="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8" w:type="dxa"/>
            <w:tcBorders/>
            <w:vAlign w:val="center"/>
          </w:tcPr>
          <w:p>
            <w:pPr>
              <w:pStyle w:val="TableContents"/>
              <w:bidi w:val="0"/>
              <w:spacing w:before="0" w:after="0"/>
              <w:ind w:left="0" w:right="0" w:hanging="0"/>
              <w:jc w:val="left"/>
              <w:rPr/>
            </w:pPr>
            <w:r>
              <w:rPr/>
              <w:t>​</w:t>
            </w:r>
          </w:p>
        </w:tc>
        <w:tc>
          <w:tcPr>
            <w:tcW w:w="5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9" w:type="dxa"/>
            <w:tcBorders/>
            <w:vAlign w:val="center"/>
          </w:tcPr>
          <w:p>
            <w:pPr>
              <w:pStyle w:val="TableContents"/>
              <w:bidi w:val="0"/>
              <w:spacing w:before="0" w:after="0"/>
              <w:ind w:left="0" w:right="0" w:hanging="0"/>
              <w:jc w:val="left"/>
              <w:rPr/>
            </w:pPr>
            <w:r>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6.63</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8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597"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 xml:space="preserve">Return on average tangible equity (non-GAAP) </w:t>
            </w:r>
            <w:r>
              <w:rPr>
                <w:rFonts w:ascii="Times New Roman;Times;serif" w:hAnsi="Times New Roman;Times;serif"/>
                <w:b/>
                <w:sz w:val="14"/>
              </w:rPr>
              <w:t>(3)(5)</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8.85</w:t>
            </w:r>
          </w:p>
        </w:tc>
        <w:tc>
          <w:tcPr>
            <w:tcW w:w="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8"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5.46</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4.46</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for non-recurring charges,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0.45</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8" w:type="dxa"/>
            <w:tcBorders/>
            <w:shd w:fill="CCEEFF" w:val="clear"/>
            <w:vAlign w:val="center"/>
          </w:tcPr>
          <w:p>
            <w:pPr>
              <w:pStyle w:val="TableContents"/>
              <w:bidi w:val="0"/>
              <w:spacing w:before="0" w:after="0"/>
              <w:ind w:left="0" w:right="0" w:hanging="0"/>
              <w:jc w:val="left"/>
              <w:rPr/>
            </w:pPr>
            <w:r>
              <w:rPr/>
              <w:t>​</w:t>
            </w:r>
          </w:p>
        </w:tc>
        <w:tc>
          <w:tcPr>
            <w:tcW w:w="5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 xml:space="preserve">Adjusted return on average tangible equity (non-GAAP) </w:t>
            </w:r>
            <w:r>
              <w:rPr>
                <w:rFonts w:ascii="Times New Roman;Times;serif" w:hAnsi="Times New Roman;Times;serif"/>
                <w:b/>
                <w:sz w:val="14"/>
              </w:rPr>
              <w:t>(3)</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w:t>
            </w:r>
          </w:p>
        </w:tc>
        <w:tc>
          <w:tcPr>
            <w:tcW w:w="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8" w:type="dxa"/>
            <w:tcBorders/>
            <w:vAlign w:val="center"/>
          </w:tcPr>
          <w:p>
            <w:pPr>
              <w:pStyle w:val="TableContents"/>
              <w:bidi w:val="0"/>
              <w:spacing w:before="0" w:after="0"/>
              <w:ind w:left="0" w:right="0" w:hanging="0"/>
              <w:jc w:val="left"/>
              <w:rPr/>
            </w:pPr>
            <w:r>
              <w:rPr/>
              <w:t>​</w:t>
            </w:r>
          </w:p>
        </w:tc>
        <w:tc>
          <w:tcPr>
            <w:tcW w:w="5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5.46</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9" w:type="dxa"/>
            <w:tcBorders/>
            <w:vAlign w:val="center"/>
          </w:tcPr>
          <w:p>
            <w:pPr>
              <w:pStyle w:val="TableContents"/>
              <w:bidi w:val="0"/>
              <w:spacing w:before="0" w:after="0"/>
              <w:ind w:left="0" w:right="0" w:hanging="0"/>
              <w:jc w:val="left"/>
              <w:rPr/>
            </w:pPr>
            <w:r>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7.35</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8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597"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Non-interest expense to average assets</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w:t>
            </w:r>
          </w:p>
        </w:tc>
        <w:tc>
          <w:tcPr>
            <w:tcW w:w="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8"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for non-recurring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(0.05)</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8" w:type="dxa"/>
            <w:tcBorders/>
            <w:shd w:fill="CCEEFF" w:val="clear"/>
            <w:vAlign w:val="center"/>
          </w:tcPr>
          <w:p>
            <w:pPr>
              <w:pStyle w:val="TableContents"/>
              <w:bidi w:val="0"/>
              <w:spacing w:before="0" w:after="0"/>
              <w:ind w:left="0" w:right="0" w:hanging="0"/>
              <w:jc w:val="left"/>
              <w:rPr/>
            </w:pPr>
            <w:r>
              <w:rPr/>
              <w:t>​</w:t>
            </w:r>
          </w:p>
        </w:tc>
        <w:tc>
          <w:tcPr>
            <w:tcW w:w="5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(0.28)</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Adjusted non-interest expense to average assets (non-GAAP)</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w:t>
            </w:r>
          </w:p>
        </w:tc>
        <w:tc>
          <w:tcPr>
            <w:tcW w:w="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8" w:type="dxa"/>
            <w:tcBorders/>
            <w:vAlign w:val="center"/>
          </w:tcPr>
          <w:p>
            <w:pPr>
              <w:pStyle w:val="TableContents"/>
              <w:bidi w:val="0"/>
              <w:spacing w:before="0" w:after="0"/>
              <w:ind w:left="0" w:right="0" w:hanging="0"/>
              <w:jc w:val="left"/>
              <w:rPr/>
            </w:pPr>
            <w:r>
              <w:rPr/>
              <w:t>​</w:t>
            </w:r>
          </w:p>
        </w:tc>
        <w:tc>
          <w:tcPr>
            <w:tcW w:w="5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9" w:type="dxa"/>
            <w:tcBorders/>
            <w:vAlign w:val="center"/>
          </w:tcPr>
          <w:p>
            <w:pPr>
              <w:pStyle w:val="TableContents"/>
              <w:bidi w:val="0"/>
              <w:spacing w:before="0" w:after="0"/>
              <w:ind w:left="0" w:right="0" w:hanging="0"/>
              <w:jc w:val="left"/>
              <w:rPr/>
            </w:pPr>
            <w:r>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(1)</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 non-GAAP financial measure is a numerical measure of historical or future financial performance, financial position or cash flows that excludes or includes amounts that are required to be disclosed in the most directly comparable measure calculated and presented in accordance with generally accepted accounting principles in the United States (“U.S. GAAP”). The Company’s management believes the presentation of non-GAAP financial measures provides investors with a greater understanding of the Company’s operating results in addition to the results measured in accordance with U.S. GAAP. While management uses non-GAAP measures in its analysis of the Company’s performance, this information should not be viewed as a substitute for financial results determined in accordance with U.S. GAAP or considered to be more important than financial results determined in accordance with U.S. GAAP.</w:t>
            </w:r>
          </w:p>
        </w:tc>
      </w:tr>
    </w:tbl>
    <w:tbl>
      <w:tblPr>
        <w:tblW w:w="5425" w:type="dxa"/>
        <w:jc w:val="left"/>
        <w:tblInd w:w="0" w:type="dxa"/>
        <w:tblLayout w:type="fixed"/>
        <w:tblCellMar>
          <w:top w:w="0" w:type="dxa"/>
          <w:left w:w="0" w:type="dxa"/>
          <w:bottom w:w="0" w:type="dxa"/>
          <w:right w:w="0" w:type="dxa"/>
        </w:tblCellMar>
      </w:tblPr>
      <w:tblGrid>
        <w:gridCol w:w="230"/>
        <w:gridCol w:w="5195"/>
      </w:tblGrid>
      <w:tr>
        <w:trPr/>
        <w:tc>
          <w:tcPr>
            <w:tcW w:w="230"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(2)</w:t>
            </w:r>
          </w:p>
        </w:tc>
        <w:tc>
          <w:tcPr>
            <w:tcW w:w="5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Ratios for the three months ended June 30, 2026 and 2025 are annualized.</w:t>
            </w:r>
          </w:p>
        </w:tc>
      </w:tr>
    </w:tbl>
    <w:tbl>
      <w:tblPr>
        <w:tblW w:w="3955" w:type="dxa"/>
        <w:jc w:val="left"/>
        <w:tblInd w:w="0" w:type="dxa"/>
        <w:tblLayout w:type="fixed"/>
        <w:tblCellMar>
          <w:top w:w="0" w:type="dxa"/>
          <w:left w:w="0" w:type="dxa"/>
          <w:bottom w:w="0" w:type="dxa"/>
          <w:right w:w="0" w:type="dxa"/>
        </w:tblCellMar>
      </w:tblPr>
      <w:tblGrid>
        <w:gridCol w:w="230"/>
        <w:gridCol w:w="3725"/>
      </w:tblGrid>
      <w:tr>
        <w:trPr/>
        <w:tc>
          <w:tcPr>
            <w:tcW w:w="230"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(3)</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Includes common stock and Series A preferred stock.</w:t>
            </w:r>
          </w:p>
        </w:tc>
      </w:tr>
    </w:tbl>
    <w:tbl>
      <w:tblPr>
        <w:tblW w:w="7150" w:type="dxa"/>
        <w:jc w:val="left"/>
        <w:tblInd w:w="0" w:type="dxa"/>
        <w:tblLayout w:type="fixed"/>
        <w:tblCellMar>
          <w:top w:w="0" w:type="dxa"/>
          <w:left w:w="0" w:type="dxa"/>
          <w:bottom w:w="0" w:type="dxa"/>
          <w:right w:w="0" w:type="dxa"/>
        </w:tblCellMar>
      </w:tblPr>
      <w:tblGrid>
        <w:gridCol w:w="230"/>
        <w:gridCol w:w="6920"/>
      </w:tblGrid>
      <w:tr>
        <w:trPr/>
        <w:tc>
          <w:tcPr>
            <w:tcW w:w="230"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(4)</w:t>
            </w:r>
          </w:p>
        </w:tc>
        <w:tc>
          <w:tcPr>
            <w:tcW w:w="6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Represents non-interest expense divided by the sum of net interest income and non-interest income.</w:t>
            </w:r>
          </w:p>
        </w:tc>
      </w:tr>
    </w:tbl>
    <w:tbl>
      <w:tblPr>
        <w:tblW w:w="8890" w:type="dxa"/>
        <w:jc w:val="left"/>
        <w:tblInd w:w="0" w:type="dxa"/>
        <w:tblLayout w:type="fixed"/>
        <w:tblCellMar>
          <w:top w:w="0" w:type="dxa"/>
          <w:left w:w="0" w:type="dxa"/>
          <w:bottom w:w="0" w:type="dxa"/>
          <w:right w:w="0" w:type="dxa"/>
        </w:tblCellMar>
      </w:tblPr>
      <w:tblGrid>
        <w:gridCol w:w="230"/>
        <w:gridCol w:w="8660"/>
      </w:tblGrid>
      <w:tr>
        <w:trPr/>
        <w:tc>
          <w:tcPr>
            <w:tcW w:w="230"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(5)</w:t>
            </w:r>
          </w:p>
        </w:tc>
        <w:tc>
          <w:tcPr>
            <w:tcW w:w="8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Represents net income divided by average total equity after deducting average goodwill and average core deposit intangible.</w:t>
            </w:r>
          </w:p>
        </w:tc>
      </w:tr>
    </w:tbl>
    <w:p>
      <w:pPr>
        <w:pStyle w:val="TextBody"/>
        <w:bidi w:val="0"/>
        <w:spacing w:before="0" w:after="200"/>
        <w:ind w:left="0" w:right="0" w:hanging="0"/>
        <w:jc w:val="both"/>
        <w:rPr>
          <w:rFonts w:ascii="Times New Roman;Times;serif" w:hAnsi="Times New Roman;Times;serif"/>
          <w:sz w:val="16"/>
        </w:rPr>
      </w:pPr>
      <w:r>
        <w:rPr>
          <w:rFonts w:ascii="Times New Roman;Times;serif" w:hAnsi="Times New Roman;Times;serif"/>
          <w:b/>
          <w:sz w:val="17"/>
        </w:rPr>
        <w:t>Note:</w:t>
      </w:r>
      <w:r>
        <w:rPr>
          <w:rFonts w:ascii="Times New Roman;Times;serif" w:hAnsi="Times New Roman;Times;serif"/>
          <w:sz w:val="16"/>
        </w:rPr>
        <w:t xml:space="preserve"> </w:t>
      </w:r>
      <w:r>
        <w:rPr>
          <w:rFonts w:ascii="Times New Roman;Times;serif" w:hAnsi="Times New Roman;Times;serif"/>
          <w:sz w:val="17"/>
        </w:rPr>
        <w:t>Prior period information has been adjusted to conform with current period presentation.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HANOVER BANCORP,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CONSOLIDATED NON-GAAP FINANCIAL INFORMATION </w:t>
      </w:r>
      <w:r>
        <w:rPr>
          <w:rFonts w:ascii="Times New Roman;Times;serif" w:hAnsi="Times New Roman;Times;serif"/>
          <w:b/>
          <w:sz w:val="15"/>
        </w:rPr>
        <w:t>(1)</w:t>
      </w:r>
      <w:r>
        <w:rPr>
          <w:rFonts w:ascii="Times New Roman;Times;serif" w:hAnsi="Times New Roman;Times;serif"/>
          <w:sz w:val="20"/>
        </w:rPr>
        <w:t xml:space="preserve"> </w:t>
      </w:r>
      <w:r>
        <w:rPr>
          <w:rFonts w:ascii="Times New Roman;Times;serif" w:hAnsi="Times New Roman;Times;serif"/>
          <w:b/>
          <w:sz w:val="20"/>
        </w:rPr>
        <w:t xml:space="preserve">(unaudited) </w:t>
      </w:r>
      <w:r>
        <w:rPr>
          <w:rFonts w:ascii="Times New Roman;Times;serif" w:hAnsi="Times New Roman;Times;serif"/>
          <w:sz w:val="20"/>
        </w:rPr>
        <w:t>(continued)</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(dollars in thousands, except per share data)</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007"/>
        <w:gridCol w:w="346"/>
        <w:gridCol w:w="222"/>
        <w:gridCol w:w="582"/>
        <w:gridCol w:w="352"/>
        <w:gridCol w:w="222"/>
        <w:gridCol w:w="582"/>
        <w:gridCol w:w="256"/>
        <w:gridCol w:w="346"/>
        <w:gridCol w:w="201"/>
        <w:gridCol w:w="618"/>
        <w:gridCol w:w="346"/>
        <w:gridCol w:w="201"/>
        <w:gridCol w:w="618"/>
        <w:gridCol w:w="306"/>
      </w:tblGrid>
      <w:tr>
        <w:trPr/>
        <w:tc>
          <w:tcPr>
            <w:tcW w:w="5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179445" cy="175260"/>
                      <wp:effectExtent l="0" t="0" r="0" b="0"/>
                      <wp:wrapNone/>
                      <wp:docPr id="129" name="Frame128"/>
                      <a:graphic xmlns:a="http://schemas.openxmlformats.org/drawingml/2006/main">
                        <a:graphicData uri="http://schemas.microsoft.com/office/word/2010/wordprocessingShape">
                          <wps:wsp>
                            <wps:cNvSpPr txBox="1"/>
                            <wps:spPr>
                              <a:xfrm>
                                <a:off x="0" y="0"/>
                                <a:ext cx="3179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40970" cy="175260"/>
                      <wp:effectExtent l="0" t="0" r="0" b="0"/>
                      <wp:wrapNone/>
                      <wp:docPr id="131" name="Frame13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69570" cy="175260"/>
                      <wp:effectExtent l="0" t="0" r="0" b="0"/>
                      <wp:wrapNone/>
                      <wp:docPr id="132" name="Frame131"/>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23520" cy="175260"/>
                      <wp:effectExtent l="0" t="0" r="0" b="0"/>
                      <wp:wrapNone/>
                      <wp:docPr id="133" name="Frame132"/>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40970" cy="175260"/>
                      <wp:effectExtent l="0" t="0" r="0" b="0"/>
                      <wp:wrapNone/>
                      <wp:docPr id="134" name="Frame13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69570" cy="175260"/>
                      <wp:effectExtent l="0" t="0" r="0" b="0"/>
                      <wp:wrapNone/>
                      <wp:docPr id="135" name="Frame134"/>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62560" cy="175260"/>
                      <wp:effectExtent l="0" t="0" r="0" b="0"/>
                      <wp:wrapNone/>
                      <wp:docPr id="136" name="Frame13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27635" cy="175260"/>
                      <wp:effectExtent l="0" t="0" r="0" b="0"/>
                      <wp:wrapNone/>
                      <wp:docPr id="138" name="Frame137"/>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92430" cy="175260"/>
                      <wp:effectExtent l="0" t="0" r="0" b="0"/>
                      <wp:wrapNone/>
                      <wp:docPr id="139" name="Frame138"/>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27635" cy="175260"/>
                      <wp:effectExtent l="0" t="0" r="0" b="0"/>
                      <wp:wrapNone/>
                      <wp:docPr id="141" name="Frame140"/>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92430" cy="175260"/>
                      <wp:effectExtent l="0" t="0" r="0" b="0"/>
                      <wp:wrapNone/>
                      <wp:docPr id="142" name="Frame141"/>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94310" cy="175260"/>
                      <wp:effectExtent l="0" t="0" r="0" b="0"/>
                      <wp:wrapNone/>
                      <wp:docPr id="143" name="Frame142"/>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xml:space="preserve">Three Months Ended </w:t>
            </w:r>
            <w:r>
              <w:rPr>
                <w:rFonts w:ascii="Times New Roman;Times;serif" w:hAnsi="Times New Roman;Times;serif"/>
                <w:b/>
                <w:sz w:val="12"/>
              </w:rPr>
              <w:t>(2)</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06" w:type="dxa"/>
            <w:tcBorders/>
            <w:vAlign w:val="center"/>
          </w:tcPr>
          <w:p>
            <w:pPr>
              <w:pStyle w:val="TableContents"/>
              <w:bidi w:val="0"/>
              <w:spacing w:before="0" w:after="0"/>
              <w:ind w:left="0" w:right="0" w:hanging="0"/>
              <w:jc w:val="left"/>
              <w:rPr/>
            </w:pPr>
            <w:r>
              <w:rPr/>
              <w:t>​</w:t>
            </w:r>
          </w:p>
        </w:tc>
      </w:tr>
      <w:tr>
        <w:trPr/>
        <w:tc>
          <w:tcPr>
            <w:tcW w:w="50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6/30/2026</w:t>
            </w:r>
          </w:p>
        </w:tc>
        <w:tc>
          <w:tcPr>
            <w:tcW w:w="352" w:type="dxa"/>
            <w:tcBorders/>
            <w:vAlign w:val="center"/>
          </w:tcPr>
          <w:p>
            <w:pPr>
              <w:pStyle w:val="TableContents"/>
              <w:bidi w:val="0"/>
              <w:spacing w:before="0" w:after="0"/>
              <w:ind w:left="0" w:right="0" w:hanging="0"/>
              <w:jc w:val="left"/>
              <w:rPr/>
            </w:pPr>
            <w:r>
              <w:rPr/>
              <w:t>  ​ ​ ​</w:t>
            </w:r>
          </w:p>
        </w:tc>
        <w:tc>
          <w:tcPr>
            <w:tcW w:w="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6/30/2025</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6/30/2026</w:t>
            </w:r>
          </w:p>
        </w:tc>
        <w:tc>
          <w:tcPr>
            <w:tcW w:w="346" w:type="dxa"/>
            <w:tcBorders/>
            <w:vAlign w:val="center"/>
          </w:tcPr>
          <w:p>
            <w:pPr>
              <w:pStyle w:val="TableContents"/>
              <w:bidi w:val="0"/>
              <w:spacing w:before="0" w:after="0"/>
              <w:ind w:left="0" w:right="0" w:hanging="0"/>
              <w:jc w:val="left"/>
              <w:rPr/>
            </w:pPr>
            <w:r>
              <w:rPr/>
              <w:t>  ​ ​ ​</w:t>
            </w:r>
          </w:p>
        </w:tc>
        <w:tc>
          <w:tcPr>
            <w:tcW w:w="8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6/30/2025</w:t>
            </w:r>
          </w:p>
        </w:tc>
        <w:tc>
          <w:tcPr>
            <w:tcW w:w="306" w:type="dxa"/>
            <w:tcBorders/>
            <w:vAlign w:val="center"/>
          </w:tcPr>
          <w:p>
            <w:pPr>
              <w:pStyle w:val="TableContents"/>
              <w:bidi w:val="0"/>
              <w:spacing w:before="0" w:after="0"/>
              <w:ind w:left="0" w:right="0" w:hanging="0"/>
              <w:jc w:val="left"/>
              <w:rPr/>
            </w:pPr>
            <w:r>
              <w:rPr/>
              <w:t>​</w:t>
            </w:r>
          </w:p>
        </w:tc>
      </w:tr>
      <w:tr>
        <w:trPr/>
        <w:tc>
          <w:tcPr>
            <w:tcW w:w="50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r>
      <w:tr>
        <w:trPr/>
        <w:tc>
          <w:tcPr>
            <w:tcW w:w="500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income, as reported</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4,064</w:t>
            </w:r>
          </w:p>
        </w:tc>
        <w:tc>
          <w:tcPr>
            <w:tcW w:w="352"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2,443</w:t>
            </w:r>
          </w:p>
        </w:tc>
        <w:tc>
          <w:tcPr>
            <w:tcW w:w="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5,938</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3,964</w:t>
            </w:r>
          </w:p>
        </w:tc>
        <w:tc>
          <w:tcPr>
            <w:tcW w:w="306" w:type="dxa"/>
            <w:tcBorders/>
            <w:shd w:fill="CCEEFF" w:val="clear"/>
            <w:vAlign w:val="center"/>
          </w:tcPr>
          <w:p>
            <w:pPr>
              <w:pStyle w:val="TableContents"/>
              <w:bidi w:val="0"/>
              <w:spacing w:before="0" w:after="0"/>
              <w:ind w:left="0" w:right="0" w:hanging="0"/>
              <w:jc w:val="left"/>
              <w:rPr/>
            </w:pPr>
            <w:r>
              <w:rPr/>
              <w:t>​</w:t>
            </w:r>
          </w:p>
        </w:tc>
      </w:tr>
      <w:tr>
        <w:trPr/>
        <w:tc>
          <w:tcPr>
            <w:tcW w:w="500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 Provision for credit losses</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w:t>
            </w:r>
          </w:p>
        </w:tc>
        <w:tc>
          <w:tcPr>
            <w:tcW w:w="352"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2,357</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1,030</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2,957</w:t>
            </w:r>
          </w:p>
        </w:tc>
        <w:tc>
          <w:tcPr>
            <w:tcW w:w="306" w:type="dxa"/>
            <w:tcBorders/>
            <w:vAlign w:val="center"/>
          </w:tcPr>
          <w:p>
            <w:pPr>
              <w:pStyle w:val="TableContents"/>
              <w:bidi w:val="0"/>
              <w:spacing w:before="0" w:after="0"/>
              <w:ind w:left="0" w:right="0" w:hanging="0"/>
              <w:jc w:val="left"/>
              <w:rPr/>
            </w:pPr>
            <w:r>
              <w:rPr/>
              <w:t>​</w:t>
            </w:r>
          </w:p>
        </w:tc>
      </w:tr>
      <w:tr>
        <w:trPr/>
        <w:tc>
          <w:tcPr>
            <w:tcW w:w="500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1,355</w:t>
            </w:r>
          </w:p>
        </w:tc>
        <w:tc>
          <w:tcPr>
            <w:tcW w:w="352"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940</w:t>
            </w:r>
          </w:p>
        </w:tc>
        <w:tc>
          <w:tcPr>
            <w:tcW w:w="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2,451</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1,184</w:t>
            </w:r>
          </w:p>
        </w:tc>
        <w:tc>
          <w:tcPr>
            <w:tcW w:w="306" w:type="dxa"/>
            <w:tcBorders/>
            <w:shd w:fill="CCEEFF" w:val="clear"/>
            <w:vAlign w:val="center"/>
          </w:tcPr>
          <w:p>
            <w:pPr>
              <w:pStyle w:val="TableContents"/>
              <w:bidi w:val="0"/>
              <w:spacing w:before="0" w:after="0"/>
              <w:ind w:left="0" w:right="0" w:hanging="0"/>
              <w:jc w:val="left"/>
              <w:rPr/>
            </w:pPr>
            <w:r>
              <w:rPr/>
              <w:t>​</w:t>
            </w:r>
          </w:p>
        </w:tc>
      </w:tr>
      <w:tr>
        <w:trPr/>
        <w:tc>
          <w:tcPr>
            <w:tcW w:w="500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Pre-provision net revenue (non-GAAP)</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5,919</w:t>
            </w:r>
          </w:p>
        </w:tc>
        <w:tc>
          <w:tcPr>
            <w:tcW w:w="352"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5,740</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9,419</w:t>
            </w:r>
          </w:p>
        </w:tc>
        <w:tc>
          <w:tcPr>
            <w:tcW w:w="346"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8,105</w:t>
            </w:r>
          </w:p>
        </w:tc>
        <w:tc>
          <w:tcPr>
            <w:tcW w:w="306" w:type="dxa"/>
            <w:tcBorders/>
            <w:vAlign w:val="center"/>
          </w:tcPr>
          <w:p>
            <w:pPr>
              <w:pStyle w:val="TableContents"/>
              <w:bidi w:val="0"/>
              <w:spacing w:before="0" w:after="0"/>
              <w:ind w:left="0" w:right="0" w:hanging="0"/>
              <w:jc w:val="left"/>
              <w:rPr/>
            </w:pPr>
            <w:r>
              <w:rPr/>
              <w:t>​</w:t>
            </w:r>
          </w:p>
        </w:tc>
      </w:tr>
      <w:tr>
        <w:trPr/>
        <w:tc>
          <w:tcPr>
            <w:tcW w:w="50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61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618"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r>
      <w:tr>
        <w:trPr/>
        <w:tc>
          <w:tcPr>
            <w:tcW w:w="500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Pre-provision net revenue return on average assets (non-GAAP)</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w:t>
            </w:r>
          </w:p>
        </w:tc>
        <w:tc>
          <w:tcPr>
            <w:tcW w:w="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2"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0.73</w:t>
            </w:r>
          </w:p>
        </w:tc>
        <w:tc>
          <w:tcPr>
            <w:tcW w:w="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0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61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618"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r>
      <w:tr>
        <w:trPr/>
        <w:tc>
          <w:tcPr>
            <w:tcW w:w="500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Pre-provision net revenue (non-GAAP)</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5,919</w:t>
            </w:r>
          </w:p>
        </w:tc>
        <w:tc>
          <w:tcPr>
            <w:tcW w:w="352"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5,740</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9,419</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8,105</w:t>
            </w:r>
          </w:p>
        </w:tc>
        <w:tc>
          <w:tcPr>
            <w:tcW w:w="306" w:type="dxa"/>
            <w:tcBorders/>
            <w:vAlign w:val="center"/>
          </w:tcPr>
          <w:p>
            <w:pPr>
              <w:pStyle w:val="TableContents"/>
              <w:bidi w:val="0"/>
              <w:spacing w:before="0" w:after="0"/>
              <w:ind w:left="0" w:right="0" w:hanging="0"/>
              <w:jc w:val="left"/>
              <w:rPr/>
            </w:pPr>
            <w:r>
              <w:rPr/>
              <w:t>​</w:t>
            </w:r>
          </w:p>
        </w:tc>
      </w:tr>
      <w:tr>
        <w:trPr/>
        <w:tc>
          <w:tcPr>
            <w:tcW w:w="500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61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618"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r>
      <w:tr>
        <w:trPr/>
        <w:tc>
          <w:tcPr>
            <w:tcW w:w="500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extinguishment charges</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w:t>
            </w:r>
          </w:p>
        </w:tc>
        <w:tc>
          <w:tcPr>
            <w:tcW w:w="352"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right"/>
              <w:rPr/>
            </w:pPr>
            <w:r>
              <w:rPr/>
              <w:t>—</w:t>
            </w:r>
          </w:p>
        </w:tc>
        <w:tc>
          <w:tcPr>
            <w:tcW w:w="306" w:type="dxa"/>
            <w:tcBorders/>
            <w:vAlign w:val="center"/>
          </w:tcPr>
          <w:p>
            <w:pPr>
              <w:pStyle w:val="TableContents"/>
              <w:bidi w:val="0"/>
              <w:spacing w:before="0" w:after="0"/>
              <w:ind w:left="0" w:right="0" w:hanging="0"/>
              <w:jc w:val="left"/>
              <w:rPr/>
            </w:pPr>
            <w:r>
              <w:rPr/>
              <w:t>​</w:t>
            </w:r>
          </w:p>
        </w:tc>
      </w:tr>
      <w:tr>
        <w:trPr/>
        <w:tc>
          <w:tcPr>
            <w:tcW w:w="500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Conversion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6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3,180</w:t>
            </w:r>
          </w:p>
        </w:tc>
        <w:tc>
          <w:tcPr>
            <w:tcW w:w="306" w:type="dxa"/>
            <w:tcBorders/>
            <w:shd w:fill="CCEEFF" w:val="clear"/>
            <w:vAlign w:val="center"/>
          </w:tcPr>
          <w:p>
            <w:pPr>
              <w:pStyle w:val="TableContents"/>
              <w:bidi w:val="0"/>
              <w:spacing w:before="0" w:after="0"/>
              <w:ind w:left="0" w:right="0" w:hanging="0"/>
              <w:jc w:val="left"/>
              <w:rPr/>
            </w:pPr>
            <w:r>
              <w:rPr/>
              <w:t>​</w:t>
            </w:r>
          </w:p>
        </w:tc>
      </w:tr>
      <w:tr>
        <w:trPr/>
        <w:tc>
          <w:tcPr>
            <w:tcW w:w="500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Severance expenses</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52"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2,340</w:t>
            </w:r>
          </w:p>
        </w:tc>
        <w:tc>
          <w:tcPr>
            <w:tcW w:w="346"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06" w:type="dxa"/>
            <w:tcBorders/>
            <w:vAlign w:val="center"/>
          </w:tcPr>
          <w:p>
            <w:pPr>
              <w:pStyle w:val="TableContents"/>
              <w:bidi w:val="0"/>
              <w:spacing w:before="0" w:after="0"/>
              <w:ind w:left="0" w:right="0" w:hanging="0"/>
              <w:jc w:val="left"/>
              <w:rPr/>
            </w:pPr>
            <w:r>
              <w:rPr/>
              <w:t>​</w:t>
            </w:r>
          </w:p>
        </w:tc>
      </w:tr>
      <w:tr>
        <w:trPr/>
        <w:tc>
          <w:tcPr>
            <w:tcW w:w="500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Adjusted pre-provision net revenue (non-GAAP)</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6,194</w:t>
            </w:r>
          </w:p>
        </w:tc>
        <w:tc>
          <w:tcPr>
            <w:tcW w:w="352"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5,740</w:t>
            </w:r>
          </w:p>
        </w:tc>
        <w:tc>
          <w:tcPr>
            <w:tcW w:w="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11,999</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11,285</w:t>
            </w:r>
          </w:p>
        </w:tc>
        <w:tc>
          <w:tcPr>
            <w:tcW w:w="306" w:type="dxa"/>
            <w:tcBorders/>
            <w:shd w:fill="CCEEFF" w:val="clear"/>
            <w:vAlign w:val="center"/>
          </w:tcPr>
          <w:p>
            <w:pPr>
              <w:pStyle w:val="TableContents"/>
              <w:bidi w:val="0"/>
              <w:spacing w:before="0" w:after="0"/>
              <w:ind w:left="0" w:right="0" w:hanging="0"/>
              <w:jc w:val="left"/>
              <w:rPr/>
            </w:pPr>
            <w:r>
              <w:rPr/>
              <w:t>​</w:t>
            </w:r>
          </w:p>
        </w:tc>
      </w:tr>
      <w:tr>
        <w:trPr/>
        <w:tc>
          <w:tcPr>
            <w:tcW w:w="50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r>
      <w:tr>
        <w:trPr/>
        <w:tc>
          <w:tcPr>
            <w:tcW w:w="500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Adjusted pre-provision net revenue return on average assets (non-GAAP)</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2"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 w:type="dxa"/>
            <w:tcBorders/>
            <w:shd w:fill="CCEEFF" w:val="clear"/>
            <w:vAlign w:val="center"/>
          </w:tcPr>
          <w:p>
            <w:pPr>
              <w:pStyle w:val="TableContents"/>
              <w:bidi w:val="0"/>
              <w:spacing w:before="0" w:after="0"/>
              <w:ind w:left="0" w:right="0" w:hanging="0"/>
              <w:jc w:val="left"/>
              <w:rPr/>
            </w:pPr>
            <w:r>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(1)</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 non-GAAP financial measure is a numerical measure of historical or future financial performance, financial position or cash flows that excludes or includes amounts that are required to be disclosed in the most directly comparable measure calculated and presented in accordance with generally accepted accounting principles in the United States (“U.S. GAAP”). The Company’s management believes the presentation of non-GAAP financial measures provides investors with a greater understanding of the Company’s operating results in addition to the results measured in accordance with U.S. GAAP. While management uses non-GAAP measures in its analysis of the Company’s performance, this information should not be viewed as a substitute for financial results determined in accordance with U.S. GAAP or considered to be more important than financial results determined in accordance with U.S. GAAP.</w:t>
            </w:r>
          </w:p>
        </w:tc>
      </w:tr>
    </w:tbl>
    <w:tbl>
      <w:tblPr>
        <w:tblW w:w="5425" w:type="dxa"/>
        <w:jc w:val="left"/>
        <w:tblInd w:w="0" w:type="dxa"/>
        <w:tblLayout w:type="fixed"/>
        <w:tblCellMar>
          <w:top w:w="0" w:type="dxa"/>
          <w:left w:w="0" w:type="dxa"/>
          <w:bottom w:w="0" w:type="dxa"/>
          <w:right w:w="0" w:type="dxa"/>
        </w:tblCellMar>
      </w:tblPr>
      <w:tblGrid>
        <w:gridCol w:w="230"/>
        <w:gridCol w:w="5195"/>
      </w:tblGrid>
      <w:tr>
        <w:trPr/>
        <w:tc>
          <w:tcPr>
            <w:tcW w:w="230"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(2)</w:t>
            </w:r>
          </w:p>
        </w:tc>
        <w:tc>
          <w:tcPr>
            <w:tcW w:w="5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Ratios for the three months ended June 30, 2026 and 2025 are annualized.</w:t>
            </w:r>
          </w:p>
        </w:tc>
      </w:tr>
    </w:tbl>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HANOVER BANCORP,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FINANCIAL DATA (unaudited)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66"/>
        <w:gridCol w:w="346"/>
        <w:gridCol w:w="211"/>
        <w:gridCol w:w="931"/>
        <w:gridCol w:w="346"/>
        <w:gridCol w:w="211"/>
        <w:gridCol w:w="931"/>
        <w:gridCol w:w="271"/>
        <w:gridCol w:w="346"/>
        <w:gridCol w:w="211"/>
        <w:gridCol w:w="931"/>
        <w:gridCol w:w="346"/>
        <w:gridCol w:w="211"/>
        <w:gridCol w:w="931"/>
        <w:gridCol w:w="316"/>
      </w:tblGrid>
      <w:tr>
        <w:trPr/>
        <w:tc>
          <w:tcPr>
            <w:tcW w:w="3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327910" cy="175260"/>
                      <wp:effectExtent l="0" t="0" r="0" b="0"/>
                      <wp:wrapNone/>
                      <wp:docPr id="144" name="Frame143"/>
                      <a:graphic xmlns:a="http://schemas.openxmlformats.org/drawingml/2006/main">
                        <a:graphicData uri="http://schemas.microsoft.com/office/word/2010/wordprocessingShape">
                          <wps:wsp>
                            <wps:cNvSpPr txBox="1"/>
                            <wps:spPr>
                              <a:xfrm>
                                <a:off x="0" y="0"/>
                                <a:ext cx="232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91185" cy="175260"/>
                      <wp:effectExtent l="0" t="0" r="0" b="0"/>
                      <wp:wrapNone/>
                      <wp:docPr id="147" name="Frame14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91185" cy="175260"/>
                      <wp:effectExtent l="0" t="0" r="0" b="0"/>
                      <wp:wrapNone/>
                      <wp:docPr id="150" name="Frame14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72085" cy="175260"/>
                      <wp:effectExtent l="0" t="0" r="0" b="0"/>
                      <wp:wrapNone/>
                      <wp:docPr id="151" name="Frame15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91185" cy="175260"/>
                      <wp:effectExtent l="0" t="0" r="0" b="0"/>
                      <wp:wrapNone/>
                      <wp:docPr id="154" name="Frame15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91185" cy="175260"/>
                      <wp:effectExtent l="0" t="0" r="0" b="0"/>
                      <wp:wrapNone/>
                      <wp:docPr id="157" name="Frame15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0660" cy="175260"/>
                      <wp:effectExtent l="0" t="0" r="0" b="0"/>
                      <wp:wrapNone/>
                      <wp:docPr id="158" name="Frame15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16" w:type="dxa"/>
            <w:tcBorders/>
            <w:vAlign w:val="center"/>
          </w:tcPr>
          <w:p>
            <w:pPr>
              <w:pStyle w:val="TableContents"/>
              <w:bidi w:val="0"/>
              <w:spacing w:before="0" w:after="0"/>
              <w:ind w:left="0" w:right="0" w:hanging="0"/>
              <w:jc w:val="left"/>
              <w:rPr/>
            </w:pPr>
            <w:r>
              <w:rPr/>
              <w:t>​</w:t>
            </w:r>
          </w:p>
        </w:tc>
      </w:tr>
      <w:tr>
        <w:trPr/>
        <w:tc>
          <w:tcPr>
            <w:tcW w:w="3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6/30/2025</w:t>
            </w:r>
          </w:p>
        </w:tc>
        <w:tc>
          <w:tcPr>
            <w:tcW w:w="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6/30/2025</w:t>
            </w:r>
          </w:p>
        </w:tc>
        <w:tc>
          <w:tcPr>
            <w:tcW w:w="316" w:type="dxa"/>
            <w:tcBorders/>
            <w:vAlign w:val="center"/>
          </w:tcPr>
          <w:p>
            <w:pPr>
              <w:pStyle w:val="TableContents"/>
              <w:bidi w:val="0"/>
              <w:spacing w:before="0" w:after="0"/>
              <w:ind w:left="0" w:right="0" w:hanging="0"/>
              <w:jc w:val="left"/>
              <w:rPr/>
            </w:pPr>
            <w:r>
              <w:rPr/>
              <w:t>​</w:t>
            </w:r>
          </w:p>
        </w:tc>
      </w:tr>
      <w:tr>
        <w:trPr/>
        <w:tc>
          <w:tcPr>
            <w:tcW w:w="36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Profitability: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Return on average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Return on average equity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Return on average tangible equity (non-GAAP) </w:t>
            </w:r>
            <w:r>
              <w:rPr>
                <w:rFonts w:ascii="Times New Roman;Times;serif" w:hAnsi="Times New Roman;Times;serif"/>
                <w:sz w:val="15"/>
              </w:rPr>
              <w:t>(1)(5)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Pre-provision net revenue return on average assets (non-GAAP) </w:t>
            </w:r>
            <w:r>
              <w:rPr>
                <w:rFonts w:ascii="Times New Roman;Times;serif" w:hAnsi="Times New Roman;Times;serif"/>
                <w:sz w:val="15"/>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Yield on average interest-earning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average interest-bearing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interest rate spread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interest margin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 expense to average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Efficiency ratio (non-GAAP) </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6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Average balances: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Interest-earning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2,170,133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2,148,782</w:t>
            </w:r>
          </w:p>
        </w:tc>
        <w:tc>
          <w:tcPr>
            <w:tcW w:w="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2,205,763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2,182,757</w:t>
            </w:r>
          </w:p>
        </w:tc>
        <w:tc>
          <w:tcPr>
            <w:tcW w:w="316" w:type="dxa"/>
            <w:tcBorders/>
            <w:vAlign w:val="center"/>
          </w:tcPr>
          <w:p>
            <w:pPr>
              <w:pStyle w:val="TableContents"/>
              <w:bidi w:val="0"/>
              <w:spacing w:before="0" w:after="0"/>
              <w:ind w:left="0" w:right="0" w:hanging="0"/>
              <w:jc w:val="left"/>
              <w:rPr/>
            </w:pPr>
            <w:r>
              <w:rPr/>
              <w:t>​</w:t>
            </w:r>
          </w:p>
        </w:tc>
      </w:tr>
      <w:tr>
        <w:trPr/>
        <w:tc>
          <w:tcPr>
            <w:tcW w:w="3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1,774,800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1,756,316</w:t>
            </w:r>
          </w:p>
        </w:tc>
        <w:tc>
          <w:tcPr>
            <w:tcW w:w="2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1,807,989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1,798,958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1,990,722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1,978,535</w:t>
            </w:r>
          </w:p>
        </w:tc>
        <w:tc>
          <w:tcPr>
            <w:tcW w:w="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1,998,461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1,984,135</w:t>
            </w:r>
          </w:p>
        </w:tc>
        <w:tc>
          <w:tcPr>
            <w:tcW w:w="316" w:type="dxa"/>
            <w:tcBorders/>
            <w:vAlign w:val="center"/>
          </w:tcPr>
          <w:p>
            <w:pPr>
              <w:pStyle w:val="TableContents"/>
              <w:bidi w:val="0"/>
              <w:spacing w:before="0" w:after="0"/>
              <w:ind w:left="0" w:right="0" w:hanging="0"/>
              <w:jc w:val="left"/>
              <w:rPr/>
            </w:pPr>
            <w:r>
              <w:rPr/>
              <w:t>​</w:t>
            </w:r>
          </w:p>
        </w:tc>
      </w:tr>
      <w:tr>
        <w:trPr/>
        <w:tc>
          <w:tcPr>
            <w:tcW w:w="3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1,867,859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1,838,947</w:t>
            </w:r>
          </w:p>
        </w:tc>
        <w:tc>
          <w:tcPr>
            <w:tcW w:w="2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1,908,797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1,878,969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142,733</w:t>
            </w:r>
          </w:p>
        </w:tc>
        <w:tc>
          <w:tcPr>
            <w:tcW w:w="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138,224</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tbl>
      <w:tblPr>
        <w:tblW w:w="4000" w:type="dxa"/>
        <w:jc w:val="left"/>
        <w:tblInd w:w="0" w:type="dxa"/>
        <w:tblLayout w:type="fixed"/>
        <w:tblCellMar>
          <w:top w:w="0" w:type="dxa"/>
          <w:left w:w="0" w:type="dxa"/>
          <w:bottom w:w="0" w:type="dxa"/>
          <w:right w:w="0" w:type="dxa"/>
        </w:tblCellMar>
      </w:tblPr>
      <w:tblGrid>
        <w:gridCol w:w="185"/>
        <w:gridCol w:w="3815"/>
      </w:tblGrid>
      <w:tr>
        <w:trPr/>
        <w:tc>
          <w:tcPr>
            <w:tcW w:w="185"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common stock and Series A preferred stock.</w:t>
            </w:r>
          </w:p>
        </w:tc>
      </w:tr>
    </w:tbl>
    <w:tbl>
      <w:tblPr>
        <w:tblW w:w="9205" w:type="dxa"/>
        <w:jc w:val="left"/>
        <w:tblInd w:w="0" w:type="dxa"/>
        <w:tblLayout w:type="fixed"/>
        <w:tblCellMar>
          <w:top w:w="0" w:type="dxa"/>
          <w:left w:w="0" w:type="dxa"/>
          <w:bottom w:w="0" w:type="dxa"/>
          <w:right w:w="0" w:type="dxa"/>
        </w:tblCellMar>
      </w:tblPr>
      <w:tblGrid>
        <w:gridCol w:w="185"/>
        <w:gridCol w:w="9020"/>
      </w:tblGrid>
      <w:tr>
        <w:trPr/>
        <w:tc>
          <w:tcPr>
            <w:tcW w:w="185"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Represents the difference between the yield on average interest-earning assets and the cost of average interest-bearing liabilities.</w:t>
            </w:r>
          </w:p>
        </w:tc>
      </w:tr>
    </w:tbl>
    <w:tbl>
      <w:tblPr>
        <w:tblW w:w="5380" w:type="dxa"/>
        <w:jc w:val="left"/>
        <w:tblInd w:w="0" w:type="dxa"/>
        <w:tblLayout w:type="fixed"/>
        <w:tblCellMar>
          <w:top w:w="0" w:type="dxa"/>
          <w:left w:w="0" w:type="dxa"/>
          <w:bottom w:w="0" w:type="dxa"/>
          <w:right w:w="0" w:type="dxa"/>
        </w:tblCellMar>
      </w:tblPr>
      <w:tblGrid>
        <w:gridCol w:w="185"/>
        <w:gridCol w:w="5195"/>
      </w:tblGrid>
      <w:tr>
        <w:trPr/>
        <w:tc>
          <w:tcPr>
            <w:tcW w:w="185"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5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Represents net interest income divided by average interest-earning assets.</w:t>
            </w:r>
          </w:p>
        </w:tc>
      </w:tr>
    </w:tbl>
    <w:tbl>
      <w:tblPr>
        <w:tblW w:w="7225" w:type="dxa"/>
        <w:jc w:val="left"/>
        <w:tblInd w:w="0" w:type="dxa"/>
        <w:tblLayout w:type="fixed"/>
        <w:tblCellMar>
          <w:top w:w="0" w:type="dxa"/>
          <w:left w:w="0" w:type="dxa"/>
          <w:bottom w:w="0" w:type="dxa"/>
          <w:right w:w="0" w:type="dxa"/>
        </w:tblCellMar>
      </w:tblPr>
      <w:tblGrid>
        <w:gridCol w:w="185"/>
        <w:gridCol w:w="7040"/>
      </w:tblGrid>
      <w:tr>
        <w:trPr/>
        <w:tc>
          <w:tcPr>
            <w:tcW w:w="185"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(4)</w:t>
            </w:r>
          </w:p>
        </w:tc>
        <w:tc>
          <w:tcPr>
            <w:tcW w:w="7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Represents non-interest expense divided by the sum of net interest income and non-interest income.</w:t>
            </w:r>
          </w:p>
        </w:tc>
      </w:tr>
    </w:tbl>
    <w:tbl>
      <w:tblPr>
        <w:tblW w:w="8920" w:type="dxa"/>
        <w:jc w:val="left"/>
        <w:tblInd w:w="0" w:type="dxa"/>
        <w:tblLayout w:type="fixed"/>
        <w:tblCellMar>
          <w:top w:w="0" w:type="dxa"/>
          <w:left w:w="0" w:type="dxa"/>
          <w:bottom w:w="0" w:type="dxa"/>
          <w:right w:w="0" w:type="dxa"/>
        </w:tblCellMar>
      </w:tblPr>
      <w:tblGrid>
        <w:gridCol w:w="185"/>
        <w:gridCol w:w="8735"/>
      </w:tblGrid>
      <w:tr>
        <w:trPr/>
        <w:tc>
          <w:tcPr>
            <w:tcW w:w="185"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(5)</w:t>
            </w:r>
          </w:p>
        </w:tc>
        <w:tc>
          <w:tcPr>
            <w:tcW w:w="8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Represents net income divided by average total equity after deducting average goodwill and average core deposit intangible.</w:t>
            </w:r>
          </w:p>
        </w:tc>
      </w:tr>
    </w:tbl>
    <w:tbl>
      <w:tblPr>
        <w:tblW w:w="5350" w:type="dxa"/>
        <w:jc w:val="left"/>
        <w:tblInd w:w="0" w:type="dxa"/>
        <w:tblLayout w:type="fixed"/>
        <w:tblCellMar>
          <w:top w:w="0" w:type="dxa"/>
          <w:left w:w="0" w:type="dxa"/>
          <w:bottom w:w="0" w:type="dxa"/>
          <w:right w:w="0" w:type="dxa"/>
        </w:tblCellMar>
      </w:tblPr>
      <w:tblGrid>
        <w:gridCol w:w="185"/>
        <w:gridCol w:w="5165"/>
      </w:tblGrid>
      <w:tr>
        <w:trPr/>
        <w:tc>
          <w:tcPr>
            <w:tcW w:w="18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(6)</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Refer to Consolidated Non-GAAP Financial Information for calculation.</w:t>
            </w:r>
          </w:p>
        </w:tc>
      </w:tr>
    </w:tbl>
    <w:p>
      <w:pPr>
        <w:pStyle w:val="TextBody"/>
        <w:bidi w:val="0"/>
        <w:spacing w:before="0" w:after="200"/>
        <w:ind w:left="0" w:right="0" w:hanging="0"/>
        <w:jc w:val="both"/>
        <w:rPr/>
      </w:pPr>
      <w:r>
        <w:rPr/>
        <w:t>​</w:t>
      </w:r>
    </w:p>
    <w:p>
      <w:pPr>
        <w:pStyle w:val="TextBody"/>
        <w:bidi w:val="0"/>
        <w:spacing w:before="0" w:after="0"/>
        <w:ind w:left="36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HANOVER BANCORP,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FINANCIAL DATA (unaudited)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 except share and per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37"/>
        <w:gridCol w:w="346"/>
        <w:gridCol w:w="211"/>
        <w:gridCol w:w="931"/>
        <w:gridCol w:w="346"/>
        <w:gridCol w:w="211"/>
        <w:gridCol w:w="931"/>
        <w:gridCol w:w="346"/>
        <w:gridCol w:w="211"/>
        <w:gridCol w:w="931"/>
        <w:gridCol w:w="346"/>
        <w:gridCol w:w="211"/>
        <w:gridCol w:w="931"/>
        <w:gridCol w:w="316"/>
      </w:tblGrid>
      <w:tr>
        <w:trPr/>
        <w:tc>
          <w:tcPr>
            <w:tcW w:w="3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499995" cy="175260"/>
                      <wp:effectExtent l="0" t="0" r="0" b="0"/>
                      <wp:wrapNone/>
                      <wp:docPr id="159" name="Frame158"/>
                      <a:graphic xmlns:a="http://schemas.openxmlformats.org/drawingml/2006/main">
                        <a:graphicData uri="http://schemas.microsoft.com/office/word/2010/wordprocessingShape">
                          <wps:wsp>
                            <wps:cNvSpPr txBox="1"/>
                            <wps:spPr>
                              <a:xfrm>
                                <a:off x="0" y="0"/>
                                <a:ext cx="2499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91185" cy="175260"/>
                      <wp:effectExtent l="0" t="0" r="0" b="0"/>
                      <wp:wrapNone/>
                      <wp:docPr id="162" name="Frame1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91185" cy="175260"/>
                      <wp:effectExtent l="0" t="0" r="0" b="0"/>
                      <wp:wrapNone/>
                      <wp:docPr id="165" name="Frame16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91185" cy="175260"/>
                      <wp:effectExtent l="0" t="0" r="0" b="0"/>
                      <wp:wrapNone/>
                      <wp:docPr id="168" name="Frame16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91185" cy="175260"/>
                      <wp:effectExtent l="0" t="0" r="0" b="0"/>
                      <wp:wrapNone/>
                      <wp:docPr id="171" name="Frame1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0660" cy="175260"/>
                      <wp:effectExtent l="0" t="0" r="0" b="0"/>
                      <wp:wrapNone/>
                      <wp:docPr id="172" name="Frame17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0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or For the Three Months Ended</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3/31/2026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9/30/2025</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quality: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Provision for credit losses - loans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(charge-offs)/recoveries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22,354</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Allowance for credit losses to total loans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Non-performing loans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Non-guaranteed portion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16,993</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Guaranteed portion </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17,169</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Non-performing loans/total loans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Non-performing loans, excluding guaranteed/total loans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Non-performing loans/total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Non-performing loans, excluding guaranteed/total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losses/non-performing loans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losses/non-performing loans, excluding guaranteed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Capital (Bank only):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Tier 1 Capital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205,434</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Tier 1 leverage ratio</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equity tier 1 capital ratio</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Tier 1 risk based capital ratio</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risk based capital ratio</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data: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Shares outstanding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7,330,424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7,431,661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7,410,403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7,467,390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200,266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201,833</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Book value per share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Tangible common equity </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182,456</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Tangible book value per share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Tangible common equity (“TCE”) ratio </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$0, $30 thousand, $175 thousand and ($50) thousand provision for credit losses on unfunded commitments for the quarters ended 6/30/26, 3/31/26, 12/31/25 and 9/30/25, respectively.</w:t>
            </w:r>
          </w:p>
        </w:tc>
      </w:tr>
    </w:tbl>
    <w:tbl>
      <w:tblPr>
        <w:tblW w:w="3490" w:type="dxa"/>
        <w:jc w:val="left"/>
        <w:tblInd w:w="0" w:type="dxa"/>
        <w:tblLayout w:type="fixed"/>
        <w:tblCellMar>
          <w:top w:w="0" w:type="dxa"/>
          <w:left w:w="0" w:type="dxa"/>
          <w:bottom w:w="0" w:type="dxa"/>
          <w:right w:w="0" w:type="dxa"/>
        </w:tblCellMar>
      </w:tblPr>
      <w:tblGrid>
        <w:gridCol w:w="185"/>
        <w:gridCol w:w="3305"/>
      </w:tblGrid>
      <w:tr>
        <w:trPr/>
        <w:tc>
          <w:tcPr>
            <w:tcW w:w="18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3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excludes loans held for sale.</w:t>
            </w:r>
          </w:p>
        </w:tc>
      </w:tr>
    </w:tbl>
    <w:tbl>
      <w:tblPr>
        <w:tblW w:w="4465" w:type="dxa"/>
        <w:jc w:val="left"/>
        <w:tblInd w:w="0" w:type="dxa"/>
        <w:tblLayout w:type="fixed"/>
        <w:tblCellMar>
          <w:top w:w="0" w:type="dxa"/>
          <w:left w:w="0" w:type="dxa"/>
          <w:bottom w:w="0" w:type="dxa"/>
          <w:right w:w="0" w:type="dxa"/>
        </w:tblCellMar>
      </w:tblPr>
      <w:tblGrid>
        <w:gridCol w:w="185"/>
        <w:gridCol w:w="4280"/>
      </w:tblGrid>
      <w:tr>
        <w:trPr/>
        <w:tc>
          <w:tcPr>
            <w:tcW w:w="18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4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lncludes common stock and Series A preferred stock.</w:t>
            </w:r>
          </w:p>
        </w:tc>
      </w:tr>
    </w:tbl>
    <w:tbl>
      <w:tblPr>
        <w:tblW w:w="2155" w:type="dxa"/>
        <w:jc w:val="left"/>
        <w:tblInd w:w="0" w:type="dxa"/>
        <w:tblLayout w:type="fixed"/>
        <w:tblCellMar>
          <w:top w:w="0" w:type="dxa"/>
          <w:left w:w="0" w:type="dxa"/>
          <w:bottom w:w="0" w:type="dxa"/>
          <w:right w:w="0" w:type="dxa"/>
        </w:tblCellMar>
      </w:tblPr>
      <w:tblGrid>
        <w:gridCol w:w="185"/>
        <w:gridCol w:w="1970"/>
      </w:tblGrid>
      <w:tr>
        <w:trPr/>
        <w:tc>
          <w:tcPr>
            <w:tcW w:w="18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(4)</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Guaranteed by the SBA.</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HANOVER BANCORP,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STATISTICAL SUMMARY</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QUARTERLY TREND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(unaudited, dollars in thousands, except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37"/>
        <w:gridCol w:w="346"/>
        <w:gridCol w:w="211"/>
        <w:gridCol w:w="931"/>
        <w:gridCol w:w="346"/>
        <w:gridCol w:w="211"/>
        <w:gridCol w:w="931"/>
        <w:gridCol w:w="346"/>
        <w:gridCol w:w="211"/>
        <w:gridCol w:w="931"/>
        <w:gridCol w:w="346"/>
        <w:gridCol w:w="211"/>
        <w:gridCol w:w="931"/>
        <w:gridCol w:w="316"/>
      </w:tblGrid>
      <w:tr>
        <w:trPr/>
        <w:tc>
          <w:tcPr>
            <w:tcW w:w="3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499995" cy="175260"/>
                      <wp:effectExtent l="0" t="0" r="0" b="0"/>
                      <wp:wrapNone/>
                      <wp:docPr id="173" name="Frame172"/>
                      <a:graphic xmlns:a="http://schemas.openxmlformats.org/drawingml/2006/main">
                        <a:graphicData uri="http://schemas.microsoft.com/office/word/2010/wordprocessingShape">
                          <wps:wsp>
                            <wps:cNvSpPr txBox="1"/>
                            <wps:spPr>
                              <a:xfrm>
                                <a:off x="0" y="0"/>
                                <a:ext cx="2499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91185" cy="175260"/>
                      <wp:effectExtent l="0" t="0" r="0" b="0"/>
                      <wp:wrapNone/>
                      <wp:docPr id="176" name="Frame17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91185" cy="175260"/>
                      <wp:effectExtent l="0" t="0" r="0" b="0"/>
                      <wp:wrapNone/>
                      <wp:docPr id="179" name="Frame17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91185" cy="175260"/>
                      <wp:effectExtent l="0" t="0" r="0" b="0"/>
                      <wp:wrapNone/>
                      <wp:docPr id="182" name="Frame18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91185" cy="175260"/>
                      <wp:effectExtent l="0" t="0" r="0" b="0"/>
                      <wp:wrapNone/>
                      <wp:docPr id="185" name="Frame18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0660" cy="175260"/>
                      <wp:effectExtent l="0" t="0" r="0" b="0"/>
                      <wp:wrapNone/>
                      <wp:docPr id="186" name="Frame18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3/31/2026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9/30/2025</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Loan distribution</w:t>
            </w:r>
            <w:r>
              <w:rPr>
                <w:rFonts w:ascii="Times New Roman;Times;serif" w:hAnsi="Times New Roman;Times;serif"/>
                <w:sz w:val="20"/>
              </w:rPr>
              <w:t xml:space="preserve"> </w:t>
            </w:r>
            <w:r>
              <w:rPr>
                <w:rFonts w:ascii="Times New Roman;Times;serif" w:hAnsi="Times New Roman;Times;serif"/>
                <w:b/>
                <w:sz w:val="15"/>
              </w:rPr>
              <w:t>(1)</w:t>
            </w:r>
            <w:r>
              <w:rPr>
                <w:rFonts w:ascii="Times New Roman;Times;serif" w:hAnsi="Times New Roman;Times;serif"/>
                <w:b/>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mortgages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737,226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737,692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751,536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725,873</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Multifamily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565,879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550,739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541,083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537,333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real estate - OO</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272,413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271,692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267,050</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real estate - NOO</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244,574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257,787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271,201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&amp; industrial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161,240</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25,582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loans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1,997,893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1,992,694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2,000,749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1,988,683</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Sequential quarter growth rate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 concentration ratio</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sold during the quarter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44,532</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Funding distribution: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Demand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232,984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N.O.W.</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708,329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772,318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781,681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701,199</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Savings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43,363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501,520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450,954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430,549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434,973</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core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1,506,501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1,504,925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1,518,491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1,412,519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506,338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517,421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509,896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562,304</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2,012,839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2,022,346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2,028,387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1,974,823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100,725</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Subordinated debentures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funding sources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2,106,878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2,141,147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2,153,855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2,100,277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Sequential quarter growth rate - total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Period-end core deposits/total deposits ratio</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Period-end demand deposits/total deposits ratio</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tbl>
      <w:tblPr>
        <w:tblW w:w="2575" w:type="dxa"/>
        <w:jc w:val="left"/>
        <w:tblInd w:w="0" w:type="dxa"/>
        <w:tblLayout w:type="fixed"/>
        <w:tblCellMar>
          <w:top w:w="0" w:type="dxa"/>
          <w:left w:w="0" w:type="dxa"/>
          <w:bottom w:w="0" w:type="dxa"/>
          <w:right w:w="0" w:type="dxa"/>
        </w:tblCellMar>
      </w:tblPr>
      <w:tblGrid>
        <w:gridCol w:w="185"/>
        <w:gridCol w:w="2390"/>
      </w:tblGrid>
      <w:tr>
        <w:trPr/>
        <w:tc>
          <w:tcPr>
            <w:tcW w:w="18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loans held for sale</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HANOVER BANCORP,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RECONCILIATION OF NON-GAAP FINANCIAL MEASURES </w:t>
      </w:r>
      <w:r>
        <w:rPr>
          <w:rFonts w:ascii="Times New Roman;Times;serif" w:hAnsi="Times New Roman;Times;serif"/>
          <w:b/>
          <w:sz w:val="15"/>
        </w:rPr>
        <w:t>(1)</w:t>
      </w:r>
      <w:r>
        <w:rPr>
          <w:rFonts w:ascii="Times New Roman;Times;serif" w:hAnsi="Times New Roman;Times;serif"/>
          <w:sz w:val="20"/>
        </w:rPr>
        <w:t xml:space="preserve"> </w:t>
      </w:r>
      <w:r>
        <w:rPr>
          <w:rFonts w:ascii="Times New Roman;Times;serif" w:hAnsi="Times New Roman;Times;serif"/>
          <w:b/>
          <w:sz w:val="20"/>
        </w:rPr>
        <w:t>(unaudited)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 except share and per share amounts)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49"/>
        <w:gridCol w:w="346"/>
        <w:gridCol w:w="211"/>
        <w:gridCol w:w="931"/>
        <w:gridCol w:w="346"/>
        <w:gridCol w:w="211"/>
        <w:gridCol w:w="931"/>
        <w:gridCol w:w="346"/>
        <w:gridCol w:w="211"/>
        <w:gridCol w:w="931"/>
        <w:gridCol w:w="346"/>
        <w:gridCol w:w="211"/>
        <w:gridCol w:w="931"/>
        <w:gridCol w:w="346"/>
        <w:gridCol w:w="211"/>
        <w:gridCol w:w="931"/>
        <w:gridCol w:w="316"/>
      </w:tblGrid>
      <w:tr>
        <w:trPr/>
        <w:tc>
          <w:tcPr>
            <w:tcW w:w="2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555115" cy="175260"/>
                      <wp:effectExtent l="0" t="0" r="0" b="0"/>
                      <wp:wrapNone/>
                      <wp:docPr id="187" name="Frame186"/>
                      <a:graphic xmlns:a="http://schemas.openxmlformats.org/drawingml/2006/main">
                        <a:graphicData uri="http://schemas.microsoft.com/office/word/2010/wordprocessingShape">
                          <wps:wsp>
                            <wps:cNvSpPr txBox="1"/>
                            <wps:spPr>
                              <a:xfrm>
                                <a:off x="0" y="0"/>
                                <a:ext cx="155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91185" cy="175260"/>
                      <wp:effectExtent l="0" t="0" r="0" b="0"/>
                      <wp:wrapNone/>
                      <wp:docPr id="190" name="Frame1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91185" cy="175260"/>
                      <wp:effectExtent l="0" t="0" r="0" b="0"/>
                      <wp:wrapNone/>
                      <wp:docPr id="193" name="Frame19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91185" cy="175260"/>
                      <wp:effectExtent l="0" t="0" r="0" b="0"/>
                      <wp:wrapNone/>
                      <wp:docPr id="196" name="Frame19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91185" cy="175260"/>
                      <wp:effectExtent l="0" t="0" r="0" b="0"/>
                      <wp:wrapNone/>
                      <wp:docPr id="199" name="Frame19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91185" cy="175260"/>
                      <wp:effectExtent l="0" t="0" r="0" b="0"/>
                      <wp:wrapNone/>
                      <wp:docPr id="202" name="Frame20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0660" cy="175260"/>
                      <wp:effectExtent l="0" t="0" r="0" b="0"/>
                      <wp:wrapNone/>
                      <wp:docPr id="203" name="Frame20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3/31/2026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9/30/2025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6/30/2025</w:t>
            </w:r>
          </w:p>
        </w:tc>
        <w:tc>
          <w:tcPr>
            <w:tcW w:w="316" w:type="dxa"/>
            <w:tcBorders/>
            <w:vAlign w:val="center"/>
          </w:tcPr>
          <w:p>
            <w:pPr>
              <w:pStyle w:val="TableContents"/>
              <w:bidi w:val="0"/>
              <w:spacing w:before="0" w:after="0"/>
              <w:ind w:left="0" w:right="0" w:hanging="0"/>
              <w:jc w:val="left"/>
              <w:rPr/>
            </w:pPr>
            <w:r>
              <w:rPr/>
              <w:t>​</w:t>
            </w:r>
          </w:p>
        </w:tc>
      </w:tr>
      <w:tr>
        <w:trPr/>
        <w:tc>
          <w:tcPr>
            <w:tcW w:w="24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Tangible common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equity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200,266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198,885</w:t>
            </w:r>
          </w:p>
        </w:tc>
        <w:tc>
          <w:tcPr>
            <w:tcW w:w="316" w:type="dxa"/>
            <w:tcBorders/>
            <w:vAlign w:val="center"/>
          </w:tcPr>
          <w:p>
            <w:pPr>
              <w:pStyle w:val="TableContents"/>
              <w:bidi w:val="0"/>
              <w:spacing w:before="0" w:after="0"/>
              <w:ind w:left="0" w:right="0" w:hanging="0"/>
              <w:jc w:val="left"/>
              <w:rPr/>
            </w:pPr>
            <w:r>
              <w:rPr/>
              <w:t>​</w:t>
            </w:r>
          </w:p>
        </w:tc>
      </w:tr>
      <w:tr>
        <w:trPr/>
        <w:tc>
          <w:tcPr>
            <w:tcW w:w="2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core deposit intangible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16" w:type="dxa"/>
            <w:tcBorders/>
            <w:vAlign w:val="center"/>
          </w:tcPr>
          <w:p>
            <w:pPr>
              <w:pStyle w:val="TableContents"/>
              <w:bidi w:val="0"/>
              <w:spacing w:before="0" w:after="0"/>
              <w:ind w:left="0" w:right="0" w:hanging="0"/>
              <w:jc w:val="left"/>
              <w:rPr/>
            </w:pPr>
            <w:r>
              <w:rPr/>
              <w:t>​</w:t>
            </w:r>
          </w:p>
        </w:tc>
      </w:tr>
      <w:tr>
        <w:trPr/>
        <w:tc>
          <w:tcPr>
            <w:tcW w:w="2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Tangible common equity (non-GAAP)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179,495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4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4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Tangible common equity (“TCE”) ratio</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Tangible common equity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179,495</w:t>
            </w:r>
          </w:p>
        </w:tc>
        <w:tc>
          <w:tcPr>
            <w:tcW w:w="316" w:type="dxa"/>
            <w:tcBorders/>
            <w:vAlign w:val="center"/>
          </w:tcPr>
          <w:p>
            <w:pPr>
              <w:pStyle w:val="TableContents"/>
              <w:bidi w:val="0"/>
              <w:spacing w:before="0" w:after="0"/>
              <w:ind w:left="0" w:right="0" w:hanging="0"/>
              <w:jc w:val="left"/>
              <w:rPr/>
            </w:pPr>
            <w:r>
              <w:rPr/>
              <w:t>​</w:t>
            </w:r>
          </w:p>
        </w:tc>
      </w:tr>
      <w:tr>
        <w:trPr/>
        <w:tc>
          <w:tcPr>
            <w:tcW w:w="2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2,336,630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2,370,949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2,383,096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2,331,580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2,311,976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goodwill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(19,168)</w:t>
            </w:r>
          </w:p>
        </w:tc>
        <w:tc>
          <w:tcPr>
            <w:tcW w:w="316" w:type="dxa"/>
            <w:tcBorders/>
            <w:vAlign w:val="center"/>
          </w:tcPr>
          <w:p>
            <w:pPr>
              <w:pStyle w:val="TableContents"/>
              <w:bidi w:val="0"/>
              <w:spacing w:before="0" w:after="0"/>
              <w:ind w:left="0" w:right="0" w:hanging="0"/>
              <w:jc w:val="left"/>
              <w:rPr/>
            </w:pPr>
            <w:r>
              <w:rPr/>
              <w:t>​</w:t>
            </w:r>
          </w:p>
        </w:tc>
      </w:tr>
      <w:tr>
        <w:trPr/>
        <w:tc>
          <w:tcPr>
            <w:tcW w:w="2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core deposit intangible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Tangible assets (non-GAAP)</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2,317,291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2,351,597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2,363,732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2,312,203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2,292,586</w:t>
            </w:r>
          </w:p>
        </w:tc>
        <w:tc>
          <w:tcPr>
            <w:tcW w:w="316" w:type="dxa"/>
            <w:tcBorders/>
            <w:vAlign w:val="center"/>
          </w:tcPr>
          <w:p>
            <w:pPr>
              <w:pStyle w:val="TableContents"/>
              <w:bidi w:val="0"/>
              <w:spacing w:before="0" w:after="0"/>
              <w:ind w:left="0" w:right="0" w:hanging="0"/>
              <w:jc w:val="left"/>
              <w:rPr/>
            </w:pPr>
            <w:r>
              <w:rPr/>
              <w:t>​</w:t>
            </w:r>
          </w:p>
        </w:tc>
      </w:tr>
      <w:tr>
        <w:trPr/>
        <w:tc>
          <w:tcPr>
            <w:tcW w:w="2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TCE ratio (non-GAAP) </w:t>
            </w:r>
            <w:r>
              <w:rPr>
                <w:rFonts w:ascii="Times New Roman;Times;serif" w:hAnsi="Times New Roman;Times;serif"/>
                <w:sz w:val="15"/>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4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Tangible book value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Tangible common equity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179,495</w:t>
            </w:r>
          </w:p>
        </w:tc>
        <w:tc>
          <w:tcPr>
            <w:tcW w:w="316" w:type="dxa"/>
            <w:tcBorders/>
            <w:vAlign w:val="center"/>
          </w:tcPr>
          <w:p>
            <w:pPr>
              <w:pStyle w:val="TableContents"/>
              <w:bidi w:val="0"/>
              <w:spacing w:before="0" w:after="0"/>
              <w:ind w:left="0" w:right="0" w:hanging="0"/>
              <w:jc w:val="left"/>
              <w:rPr/>
            </w:pPr>
            <w:r>
              <w:rPr/>
              <w:t>​</w:t>
            </w:r>
          </w:p>
        </w:tc>
      </w:tr>
      <w:tr>
        <w:trPr/>
        <w:tc>
          <w:tcPr>
            <w:tcW w:w="2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Shares outstanding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7,330,424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7,431,661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7,410,403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7,467,390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7,499,243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Tangible book value per share (non-GAAP)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10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non-GAAP financial measure is a numerical measure of historical or future financial performance, financial position or cash flows that excludes or includes amounts that are required to be disclosed in the most directly comparable measure calculated and presented in accordance with generally accepted accounting principles in the United States (“U.S. GAAP”). The Company’s management believes the presentation of non-GAAP financial measures provides investors with a greater understanding of the Company’s operating results in addition to the results measured in accordance with U.S. GAAP. While management uses non-GAAP measures in its analysis of the Company’s performance, this information should not be viewed as a substitute for financial results determined in accordance with U.S. GAAP or considered to be more important than financial results determined in accordance with U.S. GAAP.</w:t>
            </w:r>
          </w:p>
        </w:tc>
      </w:tr>
    </w:tbl>
    <w:tbl>
      <w:tblPr>
        <w:tblW w:w="4465" w:type="dxa"/>
        <w:jc w:val="left"/>
        <w:tblInd w:w="0" w:type="dxa"/>
        <w:tblLayout w:type="fixed"/>
        <w:tblCellMar>
          <w:top w:w="0" w:type="dxa"/>
          <w:left w:w="0" w:type="dxa"/>
          <w:bottom w:w="0" w:type="dxa"/>
          <w:right w:w="0" w:type="dxa"/>
        </w:tblCellMar>
      </w:tblPr>
      <w:tblGrid>
        <w:gridCol w:w="185"/>
        <w:gridCol w:w="4280"/>
      </w:tblGrid>
      <w:tr>
        <w:trPr/>
        <w:tc>
          <w:tcPr>
            <w:tcW w:w="18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4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common stock and Series A preferred stock.</w:t>
            </w:r>
          </w:p>
        </w:tc>
      </w:tr>
    </w:tbl>
    <w:tbl>
      <w:tblPr>
        <w:tblW w:w="6640" w:type="dxa"/>
        <w:jc w:val="left"/>
        <w:tblInd w:w="0" w:type="dxa"/>
        <w:tblLayout w:type="fixed"/>
        <w:tblCellMar>
          <w:top w:w="0" w:type="dxa"/>
          <w:left w:w="0" w:type="dxa"/>
          <w:bottom w:w="0" w:type="dxa"/>
          <w:right w:w="0" w:type="dxa"/>
        </w:tblCellMar>
      </w:tblPr>
      <w:tblGrid>
        <w:gridCol w:w="185"/>
        <w:gridCol w:w="6455"/>
      </w:tblGrid>
      <w:tr>
        <w:trPr/>
        <w:tc>
          <w:tcPr>
            <w:tcW w:w="18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6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 ratio is calculated by dividing tangible common equity by tangible assets.</w:t>
            </w:r>
          </w:p>
        </w:tc>
      </w:tr>
    </w:tbl>
    <w:p>
      <w:pPr>
        <w:pStyle w:val="TextBody"/>
        <w:bidi w:val="0"/>
        <w:spacing w:before="0" w:after="0"/>
        <w:ind w:left="36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HANOVER BANCORP,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INTEREST INCOME ANALYSIS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Three Months Ended June 30, 2026 and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(unaudited, dollars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45"/>
        <w:gridCol w:w="346"/>
        <w:gridCol w:w="211"/>
        <w:gridCol w:w="931"/>
        <w:gridCol w:w="346"/>
        <w:gridCol w:w="211"/>
        <w:gridCol w:w="676"/>
        <w:gridCol w:w="346"/>
        <w:gridCol w:w="139"/>
        <w:gridCol w:w="600"/>
        <w:gridCol w:w="346"/>
        <w:gridCol w:w="211"/>
        <w:gridCol w:w="931"/>
        <w:gridCol w:w="346"/>
        <w:gridCol w:w="211"/>
        <w:gridCol w:w="676"/>
        <w:gridCol w:w="346"/>
        <w:gridCol w:w="139"/>
        <w:gridCol w:w="600"/>
        <w:gridCol w:w="348"/>
      </w:tblGrid>
      <w:tr>
        <w:trPr/>
        <w:tc>
          <w:tcPr>
            <w:tcW w:w="2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425575" cy="175260"/>
                      <wp:effectExtent l="0" t="0" r="0" b="0"/>
                      <wp:wrapNone/>
                      <wp:docPr id="204" name="Frame203"/>
                      <a:graphic xmlns:a="http://schemas.openxmlformats.org/drawingml/2006/main">
                        <a:graphicData uri="http://schemas.microsoft.com/office/word/2010/wordprocessingShape">
                          <wps:wsp>
                            <wps:cNvSpPr txBox="1"/>
                            <wps:spPr>
                              <a:xfrm>
                                <a:off x="0" y="0"/>
                                <a:ext cx="142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91185" cy="175260"/>
                      <wp:effectExtent l="0" t="0" r="0" b="0"/>
                      <wp:wrapNone/>
                      <wp:docPr id="207" name="Frame2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29260" cy="175260"/>
                      <wp:effectExtent l="0" t="0" r="0" b="0"/>
                      <wp:wrapNone/>
                      <wp:docPr id="210" name="Frame2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88265" cy="175260"/>
                      <wp:effectExtent l="0" t="0" r="0" b="0"/>
                      <wp:wrapNone/>
                      <wp:docPr id="212" name="Frame211"/>
                      <a:graphic xmlns:a="http://schemas.openxmlformats.org/drawingml/2006/main">
                        <a:graphicData uri="http://schemas.microsoft.com/office/word/2010/wordprocessingShape">
                          <wps:wsp>
                            <wps:cNvSpPr txBox="1"/>
                            <wps:spPr>
                              <a:xfrm>
                                <a:off x="0" y="0"/>
                                <a:ext cx="88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81000" cy="175260"/>
                      <wp:effectExtent l="0" t="0" r="0" b="0"/>
                      <wp:wrapNone/>
                      <wp:docPr id="213" name="Frame212"/>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91185" cy="175260"/>
                      <wp:effectExtent l="0" t="0" r="0" b="0"/>
                      <wp:wrapNone/>
                      <wp:docPr id="216" name="Frame2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29260" cy="175260"/>
                      <wp:effectExtent l="0" t="0" r="0" b="0"/>
                      <wp:wrapNone/>
                      <wp:docPr id="219" name="Frame2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88265" cy="175260"/>
                      <wp:effectExtent l="0" t="0" r="0" b="0"/>
                      <wp:wrapNone/>
                      <wp:docPr id="221" name="Frame220"/>
                      <a:graphic xmlns:a="http://schemas.openxmlformats.org/drawingml/2006/main">
                        <a:graphicData uri="http://schemas.microsoft.com/office/word/2010/wordprocessingShape">
                          <wps:wsp>
                            <wps:cNvSpPr txBox="1"/>
                            <wps:spPr>
                              <a:xfrm>
                                <a:off x="0" y="0"/>
                                <a:ext cx="88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81000" cy="175260"/>
                      <wp:effectExtent l="0" t="0" r="0" b="0"/>
                      <wp:wrapNone/>
                      <wp:docPr id="222" name="Frame221"/>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20980" cy="175260"/>
                      <wp:effectExtent l="0" t="0" r="0" b="0"/>
                      <wp:wrapNone/>
                      <wp:docPr id="223" name="Frame222"/>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346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8" w:type="dxa"/>
            <w:tcBorders/>
            <w:vAlign w:val="center"/>
          </w:tcPr>
          <w:p>
            <w:pPr>
              <w:pStyle w:val="TableContents"/>
              <w:bidi w:val="0"/>
              <w:spacing w:before="0" w:after="0"/>
              <w:ind w:left="0" w:right="0" w:hanging="0"/>
              <w:jc w:val="left"/>
              <w:rPr/>
            </w:pPr>
            <w:r>
              <w:rPr/>
              <w:t>​</w:t>
            </w:r>
          </w:p>
        </w:tc>
      </w:tr>
      <w:tr>
        <w:trPr/>
        <w:tc>
          <w:tcPr>
            <w:tcW w:w="224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Average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9"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Average</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Average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9"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Average</w:t>
            </w:r>
          </w:p>
        </w:tc>
        <w:tc>
          <w:tcPr>
            <w:tcW w:w="348" w:type="dxa"/>
            <w:tcBorders/>
            <w:vAlign w:val="center"/>
          </w:tcPr>
          <w:p>
            <w:pPr>
              <w:pStyle w:val="TableContents"/>
              <w:bidi w:val="0"/>
              <w:spacing w:before="0" w:after="0"/>
              <w:ind w:left="0" w:right="0" w:hanging="0"/>
              <w:jc w:val="left"/>
              <w:rPr/>
            </w:pPr>
            <w:r>
              <w:rPr/>
              <w:t>​</w:t>
            </w:r>
          </w:p>
        </w:tc>
      </w:tr>
      <w:tr>
        <w:trPr/>
        <w:tc>
          <w:tcPr>
            <w:tcW w:w="22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Balance</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Interest</w:t>
            </w:r>
          </w:p>
        </w:tc>
        <w:tc>
          <w:tcPr>
            <w:tcW w:w="346" w:type="dxa"/>
            <w:tcBorders/>
            <w:vAlign w:val="center"/>
          </w:tcPr>
          <w:p>
            <w:pPr>
              <w:pStyle w:val="TableContents"/>
              <w:bidi w:val="0"/>
              <w:spacing w:before="0" w:after="0"/>
              <w:ind w:left="0" w:right="0" w:hanging="0"/>
              <w:jc w:val="left"/>
              <w:rPr/>
            </w:pPr>
            <w:r>
              <w:rPr/>
              <w:t>  ​ ​ ​</w:t>
            </w:r>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Yield/Cost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Balance</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Interest</w:t>
            </w:r>
          </w:p>
        </w:tc>
        <w:tc>
          <w:tcPr>
            <w:tcW w:w="346" w:type="dxa"/>
            <w:tcBorders/>
            <w:vAlign w:val="center"/>
          </w:tcPr>
          <w:p>
            <w:pPr>
              <w:pStyle w:val="TableContents"/>
              <w:bidi w:val="0"/>
              <w:spacing w:before="0" w:after="0"/>
              <w:ind w:left="0" w:right="0" w:hanging="0"/>
              <w:jc w:val="left"/>
              <w:rPr/>
            </w:pPr>
            <w:r>
              <w:rPr/>
              <w:t>  ​ ​ ​</w:t>
            </w:r>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Yield/Cost</w:t>
            </w:r>
          </w:p>
        </w:tc>
        <w:tc>
          <w:tcPr>
            <w:tcW w:w="348" w:type="dxa"/>
            <w:tcBorders/>
            <w:vAlign w:val="center"/>
          </w:tcPr>
          <w:p>
            <w:pPr>
              <w:pStyle w:val="TableContents"/>
              <w:bidi w:val="0"/>
              <w:spacing w:before="0" w:after="0"/>
              <w:ind w:left="0" w:right="0" w:hanging="0"/>
              <w:jc w:val="left"/>
              <w:rPr/>
            </w:pPr>
            <w:r>
              <w:rPr/>
              <w:t>​</w:t>
            </w:r>
          </w:p>
        </w:tc>
      </w:tr>
      <w:tr>
        <w:trPr/>
        <w:tc>
          <w:tcPr>
            <w:tcW w:w="22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Interest-earning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color w:val="FFFFFF"/>
              </w:rPr>
            </w:pPr>
            <w:r>
              <w:rPr>
                <w:color w:val="FFFFFF"/>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color w:val="FFFFFF"/>
              </w:rPr>
            </w:pPr>
            <w:r>
              <w:rPr>
                <w:color w:val="FFFFFF"/>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1,990,722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29,788</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1,978,535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29,785</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Interest-earning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FHLB stock and other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46" w:type="dxa"/>
            <w:tcBorders/>
            <w:vAlign w:val="center"/>
          </w:tcPr>
          <w:p>
            <w:pPr>
              <w:pStyle w:val="TableContents"/>
              <w:bidi w:val="0"/>
              <w:spacing w:before="0" w:after="0"/>
              <w:ind w:left="0" w:right="0" w:hanging="0"/>
              <w:jc w:val="left"/>
              <w:rPr/>
            </w:pPr>
            <w:r>
              <w:rPr/>
              <w:t>​</w:t>
            </w:r>
          </w:p>
        </w:tc>
        <w:tc>
          <w:tcPr>
            <w:tcW w:w="1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vAlign w:val="center"/>
          </w:tcPr>
          <w:p>
            <w:pPr>
              <w:pStyle w:val="TableContents"/>
              <w:bidi w:val="0"/>
              <w:spacing w:before="0" w:after="0"/>
              <w:ind w:left="0" w:right="0" w:hanging="0"/>
              <w:jc w:val="left"/>
              <w:rPr/>
            </w:pPr>
            <w:r>
              <w:rPr/>
              <w:t>​</w:t>
            </w:r>
          </w:p>
        </w:tc>
        <w:tc>
          <w:tcPr>
            <w:tcW w:w="1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interest-earning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2,170,133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32,066</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2,148,782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32,049</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 interest-earning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due from banks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2,231,942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2,208,164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22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Savings, N.O.W. and money market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1,163,445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9,129</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1,126,495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10,649</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479,267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4,575</w:t>
            </w:r>
          </w:p>
        </w:tc>
        <w:tc>
          <w:tcPr>
            <w:tcW w:w="346" w:type="dxa"/>
            <w:tcBorders/>
            <w:vAlign w:val="center"/>
          </w:tcPr>
          <w:p>
            <w:pPr>
              <w:pStyle w:val="TableContents"/>
              <w:bidi w:val="0"/>
              <w:spacing w:before="0" w:after="0"/>
              <w:ind w:left="0" w:right="0" w:hanging="0"/>
              <w:jc w:val="left"/>
              <w:rPr/>
            </w:pPr>
            <w:r>
              <w:rPr/>
              <w:t>​</w:t>
            </w:r>
          </w:p>
        </w:tc>
        <w:tc>
          <w:tcPr>
            <w:tcW w:w="1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487,088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5,058</w:t>
            </w:r>
          </w:p>
        </w:tc>
        <w:tc>
          <w:tcPr>
            <w:tcW w:w="346" w:type="dxa"/>
            <w:tcBorders/>
            <w:vAlign w:val="center"/>
          </w:tcPr>
          <w:p>
            <w:pPr>
              <w:pStyle w:val="TableContents"/>
              <w:bidi w:val="0"/>
              <w:spacing w:before="0" w:after="0"/>
              <w:ind w:left="0" w:right="0" w:hanging="0"/>
              <w:jc w:val="left"/>
              <w:rPr/>
            </w:pPr>
            <w:r>
              <w:rPr/>
              <w:t>​</w:t>
            </w:r>
          </w:p>
        </w:tc>
        <w:tc>
          <w:tcPr>
            <w:tcW w:w="1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savings and time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1,642,712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13,704</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1,613,583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15,707</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Subordinated debentures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interest-bearing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1,774,800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15,295</w:t>
            </w:r>
          </w:p>
        </w:tc>
        <w:tc>
          <w:tcPr>
            <w:tcW w:w="346" w:type="dxa"/>
            <w:tcBorders/>
            <w:vAlign w:val="center"/>
          </w:tcPr>
          <w:p>
            <w:pPr>
              <w:pStyle w:val="TableContents"/>
              <w:bidi w:val="0"/>
              <w:spacing w:before="0" w:after="0"/>
              <w:ind w:left="0" w:right="0" w:hanging="0"/>
              <w:jc w:val="left"/>
              <w:rPr/>
            </w:pPr>
            <w:r>
              <w:rPr/>
              <w:t>​</w:t>
            </w:r>
          </w:p>
        </w:tc>
        <w:tc>
          <w:tcPr>
            <w:tcW w:w="1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1,756,316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17,254</w:t>
            </w:r>
          </w:p>
        </w:tc>
        <w:tc>
          <w:tcPr>
            <w:tcW w:w="346" w:type="dxa"/>
            <w:tcBorders/>
            <w:vAlign w:val="center"/>
          </w:tcPr>
          <w:p>
            <w:pPr>
              <w:pStyle w:val="TableContents"/>
              <w:bidi w:val="0"/>
              <w:spacing w:before="0" w:after="0"/>
              <w:ind w:left="0" w:right="0" w:hanging="0"/>
              <w:jc w:val="left"/>
              <w:rPr/>
            </w:pPr>
            <w:r>
              <w:rPr/>
              <w:t>​</w:t>
            </w:r>
          </w:p>
        </w:tc>
        <w:tc>
          <w:tcPr>
            <w:tcW w:w="1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Demand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225,147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2,028,480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2,009,295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&amp;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2,231,942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2,208,164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interest rate spread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interest income/margin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16,771</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14,795</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2.76</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HANOVER BANCORP,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INTEREST INCOME ANALYSIS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Six Months Ended June 30, 2026 and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(unaudited, dollars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45"/>
        <w:gridCol w:w="346"/>
        <w:gridCol w:w="211"/>
        <w:gridCol w:w="931"/>
        <w:gridCol w:w="346"/>
        <w:gridCol w:w="211"/>
        <w:gridCol w:w="676"/>
        <w:gridCol w:w="346"/>
        <w:gridCol w:w="139"/>
        <w:gridCol w:w="600"/>
        <w:gridCol w:w="346"/>
        <w:gridCol w:w="211"/>
        <w:gridCol w:w="931"/>
        <w:gridCol w:w="346"/>
        <w:gridCol w:w="211"/>
        <w:gridCol w:w="676"/>
        <w:gridCol w:w="346"/>
        <w:gridCol w:w="139"/>
        <w:gridCol w:w="600"/>
        <w:gridCol w:w="348"/>
      </w:tblGrid>
      <w:tr>
        <w:trPr/>
        <w:tc>
          <w:tcPr>
            <w:tcW w:w="2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425575" cy="175260"/>
                      <wp:effectExtent l="0" t="0" r="0" b="0"/>
                      <wp:wrapNone/>
                      <wp:docPr id="224" name="Frame223"/>
                      <a:graphic xmlns:a="http://schemas.openxmlformats.org/drawingml/2006/main">
                        <a:graphicData uri="http://schemas.microsoft.com/office/word/2010/wordprocessingShape">
                          <wps:wsp>
                            <wps:cNvSpPr txBox="1"/>
                            <wps:spPr>
                              <a:xfrm>
                                <a:off x="0" y="0"/>
                                <a:ext cx="142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91185" cy="175260"/>
                      <wp:effectExtent l="0" t="0" r="0" b="0"/>
                      <wp:wrapNone/>
                      <wp:docPr id="227" name="Frame22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9"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29260" cy="175260"/>
                      <wp:effectExtent l="0" t="0" r="0" b="0"/>
                      <wp:wrapNone/>
                      <wp:docPr id="230" name="Frame2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88265" cy="175260"/>
                      <wp:effectExtent l="0" t="0" r="0" b="0"/>
                      <wp:wrapNone/>
                      <wp:docPr id="232" name="Frame231"/>
                      <a:graphic xmlns:a="http://schemas.openxmlformats.org/drawingml/2006/main">
                        <a:graphicData uri="http://schemas.microsoft.com/office/word/2010/wordprocessingShape">
                          <wps:wsp>
                            <wps:cNvSpPr txBox="1"/>
                            <wps:spPr>
                              <a:xfrm>
                                <a:off x="0" y="0"/>
                                <a:ext cx="88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81000" cy="175260"/>
                      <wp:effectExtent l="0" t="0" r="0" b="0"/>
                      <wp:wrapNone/>
                      <wp:docPr id="233" name="Frame232"/>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91185" cy="175260"/>
                      <wp:effectExtent l="0" t="0" r="0" b="0"/>
                      <wp:wrapNone/>
                      <wp:docPr id="236" name="Frame23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29260" cy="175260"/>
                      <wp:effectExtent l="0" t="0" r="0" b="0"/>
                      <wp:wrapNone/>
                      <wp:docPr id="239" name="Frame2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88265" cy="175260"/>
                      <wp:effectExtent l="0" t="0" r="0" b="0"/>
                      <wp:wrapNone/>
                      <wp:docPr id="241" name="Frame240"/>
                      <a:graphic xmlns:a="http://schemas.openxmlformats.org/drawingml/2006/main">
                        <a:graphicData uri="http://schemas.microsoft.com/office/word/2010/wordprocessingShape">
                          <wps:wsp>
                            <wps:cNvSpPr txBox="1"/>
                            <wps:spPr>
                              <a:xfrm>
                                <a:off x="0" y="0"/>
                                <a:ext cx="88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81000" cy="175260"/>
                      <wp:effectExtent l="0" t="0" r="0" b="0"/>
                      <wp:wrapNone/>
                      <wp:docPr id="242" name="Frame241"/>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20980" cy="175260"/>
                      <wp:effectExtent l="0" t="0" r="0" b="0"/>
                      <wp:wrapNone/>
                      <wp:docPr id="243" name="Frame242"/>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346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8" w:type="dxa"/>
            <w:tcBorders/>
            <w:vAlign w:val="center"/>
          </w:tcPr>
          <w:p>
            <w:pPr>
              <w:pStyle w:val="TableContents"/>
              <w:bidi w:val="0"/>
              <w:spacing w:before="0" w:after="0"/>
              <w:ind w:left="0" w:right="0" w:hanging="0"/>
              <w:jc w:val="center"/>
              <w:rPr/>
            </w:pPr>
            <w:r>
              <w:rPr/>
              <w:t>​</w:t>
            </w:r>
          </w:p>
        </w:tc>
      </w:tr>
      <w:tr>
        <w:trPr/>
        <w:tc>
          <w:tcPr>
            <w:tcW w:w="224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Average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9"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Average</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Average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9"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Average</w:t>
            </w:r>
          </w:p>
        </w:tc>
        <w:tc>
          <w:tcPr>
            <w:tcW w:w="348" w:type="dxa"/>
            <w:tcBorders/>
            <w:vAlign w:val="center"/>
          </w:tcPr>
          <w:p>
            <w:pPr>
              <w:pStyle w:val="TableContents"/>
              <w:bidi w:val="0"/>
              <w:spacing w:before="0" w:after="0"/>
              <w:ind w:left="0" w:right="0" w:hanging="0"/>
              <w:jc w:val="center"/>
              <w:rPr/>
            </w:pPr>
            <w:r>
              <w:rPr/>
              <w:t>​</w:t>
            </w:r>
          </w:p>
        </w:tc>
      </w:tr>
      <w:tr>
        <w:trPr/>
        <w:tc>
          <w:tcPr>
            <w:tcW w:w="22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Balance</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Interest</w:t>
            </w:r>
          </w:p>
        </w:tc>
        <w:tc>
          <w:tcPr>
            <w:tcW w:w="346" w:type="dxa"/>
            <w:tcBorders/>
            <w:vAlign w:val="center"/>
          </w:tcPr>
          <w:p>
            <w:pPr>
              <w:pStyle w:val="TableContents"/>
              <w:bidi w:val="0"/>
              <w:spacing w:before="0" w:after="0"/>
              <w:ind w:left="0" w:right="0" w:hanging="0"/>
              <w:jc w:val="left"/>
              <w:rPr/>
            </w:pPr>
            <w:r>
              <w:rPr/>
              <w:t>  ​ ​ ​</w:t>
            </w:r>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Yield/Cost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Balance</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Interest</w:t>
            </w:r>
          </w:p>
        </w:tc>
        <w:tc>
          <w:tcPr>
            <w:tcW w:w="346" w:type="dxa"/>
            <w:tcBorders/>
            <w:vAlign w:val="center"/>
          </w:tcPr>
          <w:p>
            <w:pPr>
              <w:pStyle w:val="TableContents"/>
              <w:bidi w:val="0"/>
              <w:spacing w:before="0" w:after="0"/>
              <w:ind w:left="0" w:right="0" w:hanging="0"/>
              <w:jc w:val="left"/>
              <w:rPr/>
            </w:pPr>
            <w:r>
              <w:rPr/>
              <w:t>  ​ ​ ​</w:t>
            </w:r>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Yield/Cost</w:t>
            </w:r>
          </w:p>
        </w:tc>
        <w:tc>
          <w:tcPr>
            <w:tcW w:w="348" w:type="dxa"/>
            <w:tcBorders/>
            <w:vAlign w:val="center"/>
          </w:tcPr>
          <w:p>
            <w:pPr>
              <w:pStyle w:val="TableContents"/>
              <w:bidi w:val="0"/>
              <w:spacing w:before="0" w:after="0"/>
              <w:ind w:left="0" w:right="0" w:hanging="0"/>
              <w:jc w:val="center"/>
              <w:rPr/>
            </w:pPr>
            <w:r>
              <w:rPr/>
              <w:t>​</w:t>
            </w:r>
          </w:p>
        </w:tc>
      </w:tr>
      <w:tr>
        <w:trPr/>
        <w:tc>
          <w:tcPr>
            <w:tcW w:w="22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right"/>
              <w:rPr/>
            </w:pPr>
            <w:r>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right"/>
              <w:rPr/>
            </w:pPr>
            <w:r>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Interest-earning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color w:val="FFFFFF"/>
              </w:rPr>
            </w:pPr>
            <w:r>
              <w:rPr>
                <w:color w:val="FFFFFF"/>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color w:val="FFFFFF"/>
              </w:rPr>
            </w:pPr>
            <w:r>
              <w:rPr>
                <w:color w:val="FFFFFF"/>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right"/>
              <w:rPr/>
            </w:pPr>
            <w:r>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1,998,461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59,406</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1,984,135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59,769</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3,021</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Interest-earning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1,658</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FHLB stock and other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46" w:type="dxa"/>
            <w:tcBorders/>
            <w:vAlign w:val="center"/>
          </w:tcPr>
          <w:p>
            <w:pPr>
              <w:pStyle w:val="TableContents"/>
              <w:bidi w:val="0"/>
              <w:spacing w:before="0" w:after="0"/>
              <w:ind w:left="0" w:right="0" w:hanging="0"/>
              <w:jc w:val="left"/>
              <w:rPr/>
            </w:pPr>
            <w:r>
              <w:rPr/>
              <w:t>​</w:t>
            </w:r>
          </w:p>
        </w:tc>
        <w:tc>
          <w:tcPr>
            <w:tcW w:w="1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1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interest-earning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2,205,763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64,358</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2,182,757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64,886</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 interest-earning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due from banks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2,269,682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2,242,047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22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Savings, N.O.W. and money market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1,198,556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18,681</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1,171,711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22,104</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480,322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9,305</w:t>
            </w:r>
          </w:p>
        </w:tc>
        <w:tc>
          <w:tcPr>
            <w:tcW w:w="346" w:type="dxa"/>
            <w:tcBorders/>
            <w:vAlign w:val="center"/>
          </w:tcPr>
          <w:p>
            <w:pPr>
              <w:pStyle w:val="TableContents"/>
              <w:bidi w:val="0"/>
              <w:spacing w:before="0" w:after="0"/>
              <w:ind w:left="0" w:right="0" w:hanging="0"/>
              <w:jc w:val="left"/>
              <w:rPr/>
            </w:pPr>
            <w:r>
              <w:rPr/>
              <w:t>​</w:t>
            </w:r>
          </w:p>
        </w:tc>
        <w:tc>
          <w:tcPr>
            <w:tcW w:w="1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489,023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10,378</w:t>
            </w:r>
          </w:p>
        </w:tc>
        <w:tc>
          <w:tcPr>
            <w:tcW w:w="346" w:type="dxa"/>
            <w:tcBorders/>
            <w:vAlign w:val="center"/>
          </w:tcPr>
          <w:p>
            <w:pPr>
              <w:pStyle w:val="TableContents"/>
              <w:bidi w:val="0"/>
              <w:spacing w:before="0" w:after="0"/>
              <w:ind w:left="0" w:right="0" w:hanging="0"/>
              <w:jc w:val="left"/>
              <w:rPr/>
            </w:pPr>
            <w:r>
              <w:rPr/>
              <w:t>​</w:t>
            </w:r>
          </w:p>
        </w:tc>
        <w:tc>
          <w:tcPr>
            <w:tcW w:w="1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savings and time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1,678,878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27,986</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1,660,734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32,482</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2,328</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Subordinated debentures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interest-bearing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1,807,989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31,225</w:t>
            </w:r>
          </w:p>
        </w:tc>
        <w:tc>
          <w:tcPr>
            <w:tcW w:w="346" w:type="dxa"/>
            <w:tcBorders/>
            <w:vAlign w:val="center"/>
          </w:tcPr>
          <w:p>
            <w:pPr>
              <w:pStyle w:val="TableContents"/>
              <w:bidi w:val="0"/>
              <w:spacing w:before="0" w:after="0"/>
              <w:ind w:left="0" w:right="0" w:hanging="0"/>
              <w:jc w:val="left"/>
              <w:rPr/>
            </w:pPr>
            <w:r>
              <w:rPr/>
              <w:t>​</w:t>
            </w:r>
          </w:p>
        </w:tc>
        <w:tc>
          <w:tcPr>
            <w:tcW w:w="1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1,798,958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35,462</w:t>
            </w:r>
          </w:p>
        </w:tc>
        <w:tc>
          <w:tcPr>
            <w:tcW w:w="346" w:type="dxa"/>
            <w:tcBorders/>
            <w:vAlign w:val="center"/>
          </w:tcPr>
          <w:p>
            <w:pPr>
              <w:pStyle w:val="TableContents"/>
              <w:bidi w:val="0"/>
              <w:spacing w:before="0" w:after="0"/>
              <w:ind w:left="0" w:right="0" w:hanging="0"/>
              <w:jc w:val="left"/>
              <w:rPr/>
            </w:pPr>
            <w:r>
              <w:rPr/>
              <w:t>​</w:t>
            </w:r>
          </w:p>
        </w:tc>
        <w:tc>
          <w:tcPr>
            <w:tcW w:w="1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Demand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2,066,442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2,043,372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&amp;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2,269,682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2,242,047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interest rate spread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interest income/margin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33,133</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29,424</w:t>
            </w:r>
          </w:p>
        </w:tc>
        <w:tc>
          <w:tcPr>
            <w:tcW w:w="346" w:type="dxa"/>
            <w:tcBorders/>
            <w:shd w:fill="CCEEFF" w:val="clear"/>
            <w:vAlign w:val="center"/>
          </w:tcPr>
          <w:p>
            <w:pPr>
              <w:pStyle w:val="TableContents"/>
              <w:bidi w:val="0"/>
              <w:spacing w:before="0" w:after="0"/>
              <w:ind w:left="0" w:right="0" w:hanging="0"/>
              <w:jc w:val="left"/>
              <w:rPr/>
            </w:pPr>
            <w:r>
              <w:rPr/>
              <w:t>​</w:t>
            </w:r>
          </w:p>
        </w:tc>
        <w:tc>
          <w:tcPr>
            <w:tcW w:w="1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2.72</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8568</Words>
  <Characters>45517</Characters>
  <CharactersWithSpaces>56413</CharactersWithSpaces>
  <Paragraphs>6374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