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81280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13 OR 15(d) OF THE SECURITIES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HANOVER BANCORP,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9019"/>
          </w:cols>
          <w:pgMar w:left="1440" w:top="986" w:right="1440" w:bottom="1440" w:gutter="0" w:footer="0" w:header="0"/>
        </w:sectPr>
      </w:pPr>
    </w:p>
    <w:p>
      <w:pPr>
        <w:spacing w:after="0" w:line="215"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001-41384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81-3324480</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520" w:space="260"/>
            <w:col w:w="2080" w:space="340"/>
            <w:col w:w="2819"/>
          </w:cols>
          <w:pgMar w:left="1440" w:top="986" w:right="1440" w:bottom="1440" w:gutter="0" w:footer="0" w:header="0"/>
          <w:type w:val="continuous"/>
        </w:sectPr>
      </w:pPr>
    </w:p>
    <w:p>
      <w:pPr>
        <w:spacing w:after="0" w:line="257" w:lineRule="exact"/>
        <w:rPr>
          <w:sz w:val="24"/>
          <w:szCs w:val="24"/>
          <w:color w:val="auto"/>
        </w:rPr>
      </w:pPr>
    </w:p>
    <w:p>
      <w:pPr>
        <w:ind w:left="1440" w:right="1560" w:hanging="267"/>
        <w:spacing w:after="0" w:line="317" w:lineRule="auto"/>
        <w:rPr>
          <w:sz w:val="20"/>
          <w:szCs w:val="20"/>
          <w:color w:val="auto"/>
        </w:rPr>
      </w:pPr>
      <w:r>
        <w:rPr>
          <w:rFonts w:ascii="Times New Roman" w:cs="Times New Roman" w:eastAsia="Times New Roman" w:hAnsi="Times New Roman"/>
          <w:sz w:val="17"/>
          <w:szCs w:val="17"/>
          <w:b w:val="1"/>
          <w:bCs w:val="1"/>
          <w:color w:val="auto"/>
        </w:rPr>
        <w:t>80 East Jericho Turnpike, Mineola, New York (Address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219"/>
        <w:spacing w:after="0"/>
        <w:rPr>
          <w:sz w:val="20"/>
          <w:szCs w:val="20"/>
          <w:color w:val="auto"/>
        </w:rPr>
      </w:pPr>
      <w:r>
        <w:rPr>
          <w:rFonts w:ascii="Times New Roman" w:cs="Times New Roman" w:eastAsia="Times New Roman" w:hAnsi="Times New Roman"/>
          <w:sz w:val="18"/>
          <w:szCs w:val="18"/>
          <w:b w:val="1"/>
          <w:bCs w:val="1"/>
          <w:color w:val="auto"/>
        </w:rPr>
        <w:t>11501</w:t>
      </w:r>
    </w:p>
    <w:p>
      <w:pPr>
        <w:spacing w:after="0" w:line="31" w:lineRule="exact"/>
        <w:rPr>
          <w:sz w:val="24"/>
          <w:szCs w:val="24"/>
          <w:color w:val="auto"/>
        </w:rPr>
      </w:pPr>
    </w:p>
    <w:p>
      <w:pPr>
        <w:jc w:val="center"/>
        <w:ind w:right="1219"/>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3" w:lineRule="exact"/>
        <w:rPr>
          <w:sz w:val="24"/>
          <w:szCs w:val="24"/>
          <w:color w:val="auto"/>
        </w:rPr>
      </w:pPr>
    </w:p>
    <w:p>
      <w:pPr>
        <w:sectPr>
          <w:pgSz w:w="11900" w:h="16838" w:orient="portrait"/>
          <w:cols w:equalWidth="0" w:num="2">
            <w:col w:w="6240" w:space="720"/>
            <w:col w:w="2059"/>
          </w:cols>
          <w:pgMar w:left="1440" w:top="986"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(516) 548-8500</w:t>
      </w:r>
    </w:p>
    <w:p>
      <w:pPr>
        <w:spacing w:after="0" w:line="22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0" w:right="719" w:hanging="10"/>
        <w:spacing w:after="0" w:line="532" w:lineRule="auto"/>
        <w:tabs>
          <w:tab w:leader="none" w:pos="2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82" w:lineRule="exact"/>
        <w:rPr>
          <w:sz w:val="24"/>
          <w:szCs w:val="24"/>
          <w:color w:val="auto"/>
        </w:rPr>
      </w:pPr>
    </w:p>
    <w:tbl>
      <w:tblPr>
        <w:tblLayout w:type="fixed"/>
        <w:tblInd w:w="70" w:type="dxa"/>
        <w:tblCellMar>
          <w:top w:w="0" w:type="dxa"/>
          <w:left w:w="0" w:type="dxa"/>
          <w:bottom w:w="0" w:type="dxa"/>
          <w:right w:w="0" w:type="dxa"/>
        </w:tblCellMar>
      </w:tblPr>
      <w:tr>
        <w:trPr>
          <w:trHeight w:val="248"/>
        </w:trPr>
        <w:tc>
          <w:tcPr>
            <w:tcW w:w="2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2222"/>
                <w:w w:val="98"/>
              </w:rPr>
              <w:t>Title of each class</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2222"/>
                <w:w w:val="99"/>
              </w:rPr>
              <w:t>Trading symbol</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2222"/>
                <w:w w:val="99"/>
              </w:rPr>
              <w:t>Name of each exchange on which registered</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2222"/>
                <w:w w:val="98"/>
              </w:rPr>
              <w:t>Common stock</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2222"/>
                <w:w w:val="97"/>
              </w:rPr>
              <w:t>HNVR</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22222"/>
              </w:rPr>
              <w:t>NASDAQ</w:t>
            </w:r>
          </w:p>
        </w:tc>
      </w:tr>
    </w:tbl>
    <w:p>
      <w:pPr>
        <w:spacing w:after="0" w:line="198" w:lineRule="exact"/>
        <w:rPr>
          <w:sz w:val="24"/>
          <w:szCs w:val="24"/>
          <w:color w:val="auto"/>
        </w:rPr>
      </w:pPr>
    </w:p>
    <w:p>
      <w:pPr>
        <w:ind w:left="60" w:right="11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694055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type w:val="continuous"/>
        </w:sectPr>
      </w:pPr>
    </w:p>
    <w:bookmarkStart w:id="1" w:name="page2"/>
    <w:bookmarkEnd w:id="1"/>
    <w:p>
      <w:pPr>
        <w:jc w:val="both"/>
        <w:ind w:left="1340" w:right="7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u w:val="single" w:color="auto"/>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May 28, 2026, the shareholders of Hanover Bancorp, Inc. (the “Company”) approved the Hanover Bancorp, Inc. 2026 Equity Incentive Plan (the “Plan”). The material terms of the Plan are summarized on pages 25 through 31 of the Company’s definitive proxy statement on Schedule 14A filed with the Securities and Exchange Commission on April 23, 2026 (the “Proxy Statement”), which description is incorporated herein by reference.</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Plan does not purport to be complete and is qualified in its entirety by reference to the full text of the Plan, a copy of which was included as Appendix A to the Proxy Statement.</w:t>
      </w: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annual meeting of the shareholders of the Company was held on May 28, 2026. The final results for each of the matters submitted to a vote of shareholders at the annual meeting are as follows:</w:t>
      </w:r>
    </w:p>
    <w:p>
      <w:pPr>
        <w:spacing w:after="0" w:line="162" w:lineRule="exact"/>
        <w:rPr>
          <w:sz w:val="20"/>
          <w:szCs w:val="20"/>
          <w:color w:val="auto"/>
        </w:rPr>
      </w:pPr>
    </w:p>
    <w:p>
      <w:pPr>
        <w:ind w:left="700" w:hanging="650"/>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were elected as directors, each for a three-year term, by the following vote:</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21"/>
        </w:trPr>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Michael Katz</w:t>
            </w:r>
          </w:p>
        </w:tc>
        <w:tc>
          <w:tcPr>
            <w:tcW w:w="2660" w:type="dxa"/>
            <w:vAlign w:val="bottom"/>
            <w:gridSpan w:val="3"/>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4,651,759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174,675</w:t>
            </w:r>
          </w:p>
        </w:tc>
        <w:tc>
          <w:tcPr>
            <w:tcW w:w="740" w:type="dxa"/>
            <w:vAlign w:val="bottom"/>
            <w:shd w:val="clear" w:color="auto" w:fill="CCEEFF"/>
          </w:tcPr>
          <w:p>
            <w:pPr>
              <w:spacing w:after="0"/>
              <w:rPr>
                <w:sz w:val="18"/>
                <w:szCs w:val="18"/>
                <w:color w:val="auto"/>
              </w:rPr>
            </w:pPr>
          </w:p>
        </w:tc>
      </w:tr>
      <w:tr>
        <w:trPr>
          <w:trHeight w:val="216"/>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R. Sorrenti</w:t>
            </w:r>
          </w:p>
        </w:tc>
        <w:tc>
          <w:tcPr>
            <w:tcW w:w="266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4,769,855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56,579</w:t>
            </w:r>
          </w:p>
        </w:tc>
        <w:tc>
          <w:tcPr>
            <w:tcW w:w="740" w:type="dxa"/>
            <w:vAlign w:val="bottom"/>
          </w:tcPr>
          <w:p>
            <w:pPr>
              <w:spacing w:after="0"/>
              <w:rPr>
                <w:sz w:val="18"/>
                <w:szCs w:val="18"/>
                <w:color w:val="auto"/>
              </w:rPr>
            </w:pPr>
          </w:p>
        </w:tc>
      </w:tr>
      <w:tr>
        <w:trPr>
          <w:trHeight w:val="21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Philip Okun</w:t>
            </w:r>
          </w:p>
        </w:tc>
        <w:tc>
          <w:tcPr>
            <w:tcW w:w="2660" w:type="dxa"/>
            <w:vAlign w:val="bottom"/>
            <w:gridSpan w:val="3"/>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4,642,366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184,068</w:t>
            </w:r>
          </w:p>
        </w:tc>
        <w:tc>
          <w:tcPr>
            <w:tcW w:w="74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There were 903,723 broker non-votes on the proposal.</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Hanover Bancorp, Inc. 2026 Equity Incentive Plan was approved by the shareholders by the following vote:</w:t>
      </w:r>
    </w:p>
    <w:p>
      <w:pPr>
        <w:spacing w:after="0" w:line="225"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20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
        </w:trPr>
        <w:tc>
          <w:tcPr>
            <w:tcW w:w="6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20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4,755,228</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27,522</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43,684</w:t>
            </w:r>
          </w:p>
        </w:tc>
        <w:tc>
          <w:tcPr>
            <w:tcW w:w="3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There were 903,723 broker non-votes on the proposal.</w:t>
      </w:r>
    </w:p>
    <w:p>
      <w:pPr>
        <w:spacing w:after="0" w:line="200" w:lineRule="exact"/>
        <w:rPr>
          <w:sz w:val="20"/>
          <w:szCs w:val="20"/>
          <w:color w:val="auto"/>
        </w:rPr>
      </w:pPr>
    </w:p>
    <w:p>
      <w:pPr>
        <w:spacing w:after="0" w:line="241" w:lineRule="exact"/>
        <w:rPr>
          <w:sz w:val="20"/>
          <w:szCs w:val="20"/>
          <w:color w:val="auto"/>
        </w:rPr>
      </w:pPr>
    </w:p>
    <w:p>
      <w:pPr>
        <w:ind w:left="700" w:right="79" w:hanging="650"/>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Crowe LLP as the Company’s independent registered public accounting firm for the fiscal year ending December 31, 2026 was ratified by the shareholders by the following vote:</w:t>
      </w:r>
    </w:p>
    <w:p>
      <w:pPr>
        <w:spacing w:after="0" w:line="162"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20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
        </w:trPr>
        <w:tc>
          <w:tcPr>
            <w:tcW w:w="6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20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5,725,927</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2,908</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1,322</w:t>
            </w:r>
          </w:p>
        </w:tc>
        <w:tc>
          <w:tcPr>
            <w:tcW w:w="3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There were no broker non-votes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934720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620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HANOVER BANCORP, INC.</w:t>
            </w:r>
          </w:p>
        </w:tc>
      </w:tr>
      <w:tr>
        <w:trPr>
          <w:trHeight w:val="43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 2026</w:t>
            </w:r>
          </w:p>
        </w:tc>
        <w:tc>
          <w:tcPr>
            <w:tcW w:w="620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By:  /s/ Lance P. Burke</w:t>
            </w:r>
          </w:p>
        </w:tc>
      </w:tr>
      <w:tr>
        <w:trPr>
          <w:trHeight w:val="191"/>
        </w:trPr>
        <w:tc>
          <w:tcPr>
            <w:tcW w:w="2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Lance P. Burke</w:t>
            </w:r>
          </w:p>
        </w:tc>
        <w:tc>
          <w:tcPr>
            <w:tcW w:w="2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Executive Vice President and</w:t>
            </w:r>
          </w:p>
        </w:tc>
      </w:tr>
      <w:tr>
        <w:trPr>
          <w:trHeight w:val="234"/>
        </w:trPr>
        <w:tc>
          <w:tcPr>
            <w:tcW w:w="2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04"/>
        </w:trPr>
        <w:tc>
          <w:tcPr>
            <w:tcW w:w="27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2026-06-01T15:59:56Z</dcterms:created>
  <dcterms:modified xsi:type="dcterms:W3CDTF">2026-06-01T15:59:56Z</dcterms:modified>
</cp:coreProperties>
</file>